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r>
        <w:t>Tayinat Archaeological Project</w:t>
      </w:r>
    </w:p>
    <w:p w:rsidR="002F7E88" w:rsidRDefault="00CA0AF6" w:rsidP="002F7E88">
      <w:pPr>
        <w:pStyle w:val="Title"/>
        <w:rPr>
          <w:b w:val="0"/>
        </w:rPr>
      </w:pPr>
      <w:r>
        <w:t>2015</w:t>
      </w:r>
      <w:r w:rsidR="002F7E88">
        <w:t xml:space="preserve"> Seasonal Report</w:t>
      </w:r>
    </w:p>
    <w:p w:rsidR="002F7E88" w:rsidRDefault="002F7E88" w:rsidP="002F7E88">
      <w:pPr>
        <w:pStyle w:val="Title"/>
        <w:spacing w:before="240" w:line="480" w:lineRule="atLeast"/>
        <w:rPr>
          <w:b w:val="0"/>
          <w:caps w:val="0"/>
        </w:rPr>
      </w:pPr>
    </w:p>
    <w:p w:rsidR="002F7E88" w:rsidRDefault="002F7E88" w:rsidP="002F7E88">
      <w:pPr>
        <w:pStyle w:val="Title"/>
        <w:spacing w:before="240" w:line="480" w:lineRule="atLeast"/>
        <w:rPr>
          <w:b w:val="0"/>
          <w:caps w:val="0"/>
        </w:rPr>
      </w:pPr>
      <w:r>
        <w:rPr>
          <w:b w:val="0"/>
          <w:caps w:val="0"/>
        </w:rPr>
        <w:t>[Not for Publication]</w:t>
      </w:r>
    </w:p>
    <w:p w:rsidR="002F7E88" w:rsidRDefault="002F7E88" w:rsidP="002F7E88">
      <w:pPr>
        <w:pStyle w:val="Title"/>
        <w:spacing w:before="240" w:line="480" w:lineRule="atLeast"/>
        <w:rPr>
          <w:b w:val="0"/>
          <w:caps w:val="0"/>
        </w:rPr>
      </w:pPr>
    </w:p>
    <w:p w:rsidR="002F7E88" w:rsidRDefault="00322556" w:rsidP="002F7E88">
      <w:pPr>
        <w:pStyle w:val="Title"/>
        <w:spacing w:before="240" w:line="480" w:lineRule="atLeast"/>
        <w:rPr>
          <w:b w:val="0"/>
          <w:caps w:val="0"/>
        </w:rPr>
      </w:pPr>
      <w:r>
        <w:rPr>
          <w:b w:val="0"/>
          <w:caps w:val="0"/>
        </w:rPr>
        <w:t>Prof. Dr.</w:t>
      </w:r>
      <w:r w:rsidR="002F7E88">
        <w:rPr>
          <w:b w:val="0"/>
          <w:caps w:val="0"/>
        </w:rPr>
        <w:t xml:space="preserve"> Timothy P. Harrison</w:t>
      </w:r>
    </w:p>
    <w:p w:rsidR="002F7E88" w:rsidRDefault="002F7E88" w:rsidP="002F7E88">
      <w:pPr>
        <w:pStyle w:val="Title"/>
        <w:rPr>
          <w:b w:val="0"/>
          <w:caps w:val="0"/>
        </w:rPr>
      </w:pPr>
      <w:r>
        <w:rPr>
          <w:b w:val="0"/>
          <w:caps w:val="0"/>
        </w:rPr>
        <w:t>Department of Near &amp;Middle Eastern Civilizations</w:t>
      </w:r>
    </w:p>
    <w:p w:rsidR="002F7E88" w:rsidRDefault="002F7E88" w:rsidP="002F7E88">
      <w:pPr>
        <w:pStyle w:val="Title"/>
        <w:rPr>
          <w:b w:val="0"/>
          <w:caps w:val="0"/>
        </w:rPr>
      </w:pPr>
      <w:smartTag w:uri="urn:schemas-microsoft-com:office:smarttags" w:element="place">
        <w:smartTag w:uri="urn:schemas-microsoft-com:office:smarttags" w:element="PlaceType">
          <w:r>
            <w:rPr>
              <w:b w:val="0"/>
              <w:caps w:val="0"/>
            </w:rPr>
            <w:t>University</w:t>
          </w:r>
        </w:smartTag>
        <w:r>
          <w:rPr>
            <w:b w:val="0"/>
            <w:caps w:val="0"/>
          </w:rPr>
          <w:t xml:space="preserve"> of </w:t>
        </w:r>
        <w:smartTag w:uri="urn:schemas-microsoft-com:office:smarttags" w:element="PlaceName">
          <w:r>
            <w:rPr>
              <w:b w:val="0"/>
              <w:caps w:val="0"/>
            </w:rPr>
            <w:t>Toronto</w:t>
          </w:r>
        </w:smartTag>
      </w:smartTag>
    </w:p>
    <w:p w:rsidR="002F7E88" w:rsidRDefault="002F7E88" w:rsidP="002F7E88">
      <w:pPr>
        <w:pStyle w:val="Title"/>
        <w:rPr>
          <w:b w:val="0"/>
          <w:caps w:val="0"/>
        </w:rPr>
      </w:pPr>
      <w:smartTag w:uri="urn:schemas-microsoft-com:office:smarttags" w:element="Street">
        <w:smartTag w:uri="urn:schemas-microsoft-com:office:smarttags" w:element="address">
          <w:r>
            <w:rPr>
              <w:b w:val="0"/>
              <w:caps w:val="0"/>
            </w:rPr>
            <w:t>4 Bancroft Avenue</w:t>
          </w:r>
        </w:smartTag>
      </w:smartTag>
    </w:p>
    <w:p w:rsidR="002F7E88" w:rsidRDefault="002F7E88" w:rsidP="002F7E88">
      <w:pPr>
        <w:pStyle w:val="Title"/>
        <w:rPr>
          <w:b w:val="0"/>
          <w:caps w:val="0"/>
        </w:rPr>
      </w:pPr>
      <w:smartTag w:uri="urn:schemas-microsoft-com:office:smarttags" w:element="place">
        <w:smartTag w:uri="urn:schemas-microsoft-com:office:smarttags" w:element="City">
          <w:r>
            <w:rPr>
              <w:b w:val="0"/>
              <w:caps w:val="0"/>
            </w:rPr>
            <w:t>Toronto</w:t>
          </w:r>
        </w:smartTag>
        <w:r>
          <w:rPr>
            <w:b w:val="0"/>
            <w:caps w:val="0"/>
          </w:rPr>
          <w:t xml:space="preserve">, </w:t>
        </w:r>
        <w:smartTag w:uri="urn:schemas-microsoft-com:office:smarttags" w:element="State">
          <w:r>
            <w:rPr>
              <w:b w:val="0"/>
              <w:caps w:val="0"/>
            </w:rPr>
            <w:t>ON</w:t>
          </w:r>
        </w:smartTag>
        <w:r>
          <w:rPr>
            <w:b w:val="0"/>
            <w:caps w:val="0"/>
          </w:rPr>
          <w:t xml:space="preserve">, </w:t>
        </w:r>
        <w:smartTag w:uri="urn:schemas-microsoft-com:office:smarttags" w:element="PostalCode">
          <w:r>
            <w:rPr>
              <w:b w:val="0"/>
              <w:caps w:val="0"/>
            </w:rPr>
            <w:t>M5S 1C1</w:t>
          </w:r>
        </w:smartTag>
      </w:smartTag>
    </w:p>
    <w:p w:rsidR="002F7E88" w:rsidRDefault="002F7E88" w:rsidP="002F7E88">
      <w:pPr>
        <w:pStyle w:val="Title"/>
        <w:rPr>
          <w:b w:val="0"/>
          <w:caps w:val="0"/>
        </w:rPr>
      </w:pPr>
      <w:smartTag w:uri="urn:schemas-microsoft-com:office:smarttags" w:element="place">
        <w:smartTag w:uri="urn:schemas-microsoft-com:office:smarttags" w:element="country-region">
          <w:r>
            <w:rPr>
              <w:b w:val="0"/>
              <w:caps w:val="0"/>
            </w:rPr>
            <w:t>CANADA</w:t>
          </w:r>
        </w:smartTag>
      </w:smartTag>
    </w:p>
    <w:p w:rsidR="002F7E88" w:rsidRDefault="00867D69" w:rsidP="002F7E88">
      <w:pPr>
        <w:pStyle w:val="Title"/>
        <w:rPr>
          <w:b w:val="0"/>
          <w:caps w:val="0"/>
        </w:rPr>
      </w:pPr>
      <w:hyperlink r:id="rId9" w:history="1">
        <w:r w:rsidR="002F7E88">
          <w:rPr>
            <w:rStyle w:val="Hyperlink"/>
            <w:caps w:val="0"/>
          </w:rPr>
          <w:t>tim.harrison@utoronto.ca</w:t>
        </w:r>
      </w:hyperlink>
    </w:p>
    <w:p w:rsidR="002F7E88" w:rsidRDefault="002F7E88" w:rsidP="002F7E88">
      <w:pPr>
        <w:pStyle w:val="Title"/>
        <w:spacing w:before="240" w:line="480" w:lineRule="atLeast"/>
        <w:rPr>
          <w:b w:val="0"/>
          <w:caps w:val="0"/>
        </w:rPr>
      </w:pPr>
    </w:p>
    <w:p w:rsidR="002F7E88" w:rsidRDefault="00CA0AF6" w:rsidP="002F7E88">
      <w:pPr>
        <w:pStyle w:val="Title"/>
        <w:spacing w:before="240" w:line="480" w:lineRule="atLeast"/>
        <w:rPr>
          <w:b w:val="0"/>
          <w:caps w:val="0"/>
        </w:rPr>
      </w:pPr>
      <w:r>
        <w:rPr>
          <w:b w:val="0"/>
          <w:caps w:val="0"/>
        </w:rPr>
        <w:t>February 1, 2016</w:t>
      </w:r>
    </w:p>
    <w:p w:rsidR="0088391B" w:rsidRDefault="0088391B">
      <w:pPr>
        <w:rPr>
          <w:b/>
          <w:smallCaps/>
          <w:sz w:val="24"/>
          <w:szCs w:val="24"/>
        </w:rPr>
      </w:pPr>
      <w:r>
        <w:rPr>
          <w:caps/>
          <w:smallCaps/>
          <w:szCs w:val="24"/>
        </w:rPr>
        <w:br w:type="page"/>
      </w:r>
    </w:p>
    <w:p w:rsidR="002F7E88" w:rsidRPr="004C57C2" w:rsidRDefault="002F7E88" w:rsidP="00910924">
      <w:pPr>
        <w:pStyle w:val="Subtitle"/>
        <w:spacing w:line="480" w:lineRule="auto"/>
        <w:rPr>
          <w:caps w:val="0"/>
          <w:smallCaps/>
          <w:szCs w:val="24"/>
        </w:rPr>
      </w:pPr>
      <w:r w:rsidRPr="004C57C2">
        <w:rPr>
          <w:caps w:val="0"/>
          <w:smallCaps/>
          <w:szCs w:val="24"/>
        </w:rPr>
        <w:lastRenderedPageBreak/>
        <w:t>Introduction</w:t>
      </w:r>
    </w:p>
    <w:p w:rsidR="00145C6D" w:rsidRDefault="002F7E88" w:rsidP="00910924">
      <w:pPr>
        <w:pStyle w:val="Subtitle"/>
        <w:spacing w:line="480" w:lineRule="auto"/>
        <w:jc w:val="both"/>
        <w:rPr>
          <w:b w:val="0"/>
          <w:bCs/>
          <w:caps w:val="0"/>
        </w:rPr>
      </w:pPr>
      <w:r w:rsidRPr="00156CAB">
        <w:rPr>
          <w:b w:val="0"/>
          <w:bCs/>
          <w:caps w:val="0"/>
        </w:rPr>
        <w:tab/>
        <w:t xml:space="preserve">The </w:t>
      </w:r>
      <w:proofErr w:type="spellStart"/>
      <w:r w:rsidRPr="00156CAB">
        <w:rPr>
          <w:b w:val="0"/>
          <w:bCs/>
          <w:caps w:val="0"/>
        </w:rPr>
        <w:t>Tayinat</w:t>
      </w:r>
      <w:proofErr w:type="spellEnd"/>
      <w:r w:rsidRPr="00156CAB">
        <w:rPr>
          <w:b w:val="0"/>
          <w:bCs/>
          <w:caps w:val="0"/>
        </w:rPr>
        <w:t xml:space="preserve"> Archaeological Pr</w:t>
      </w:r>
      <w:r w:rsidR="00993F0C">
        <w:rPr>
          <w:b w:val="0"/>
          <w:bCs/>
          <w:caps w:val="0"/>
        </w:rPr>
        <w:t>oject (TAP) conducted its eleven</w:t>
      </w:r>
      <w:r w:rsidR="00DC1610">
        <w:rPr>
          <w:b w:val="0"/>
          <w:bCs/>
          <w:caps w:val="0"/>
        </w:rPr>
        <w:t>th</w:t>
      </w:r>
      <w:r w:rsidRPr="00156CAB">
        <w:rPr>
          <w:b w:val="0"/>
          <w:bCs/>
          <w:caps w:val="0"/>
        </w:rPr>
        <w:t xml:space="preserve"> season of </w:t>
      </w:r>
      <w:r w:rsidR="00DC1610">
        <w:rPr>
          <w:b w:val="0"/>
          <w:bCs/>
          <w:caps w:val="0"/>
        </w:rPr>
        <w:t>field research</w:t>
      </w:r>
      <w:r w:rsidR="00566E23">
        <w:rPr>
          <w:b w:val="0"/>
          <w:bCs/>
          <w:caps w:val="0"/>
        </w:rPr>
        <w:t xml:space="preserve"> at Tell </w:t>
      </w:r>
      <w:proofErr w:type="spellStart"/>
      <w:r w:rsidR="00566E23">
        <w:rPr>
          <w:b w:val="0"/>
          <w:bCs/>
          <w:caps w:val="0"/>
        </w:rPr>
        <w:t>Ta</w:t>
      </w:r>
      <w:r w:rsidR="00743611">
        <w:rPr>
          <w:b w:val="0"/>
          <w:bCs/>
          <w:caps w:val="0"/>
        </w:rPr>
        <w:t>yinat</w:t>
      </w:r>
      <w:proofErr w:type="spellEnd"/>
      <w:r w:rsidR="00743611">
        <w:rPr>
          <w:b w:val="0"/>
          <w:bCs/>
          <w:caps w:val="0"/>
        </w:rPr>
        <w:t xml:space="preserve"> </w:t>
      </w:r>
      <w:r w:rsidRPr="00156CAB">
        <w:rPr>
          <w:b w:val="0"/>
          <w:bCs/>
          <w:caps w:val="0"/>
          <w:szCs w:val="24"/>
        </w:rPr>
        <w:t xml:space="preserve">between </w:t>
      </w:r>
      <w:r w:rsidRPr="00993F0C">
        <w:rPr>
          <w:bCs/>
          <w:caps w:val="0"/>
        </w:rPr>
        <w:t xml:space="preserve">June </w:t>
      </w:r>
      <w:r w:rsidR="00993F0C">
        <w:rPr>
          <w:bCs/>
          <w:caps w:val="0"/>
        </w:rPr>
        <w:t>1</w:t>
      </w:r>
      <w:r w:rsidRPr="00993F0C">
        <w:rPr>
          <w:bCs/>
          <w:caps w:val="0"/>
        </w:rPr>
        <w:t xml:space="preserve"> and </w:t>
      </w:r>
      <w:r w:rsidR="00993F0C">
        <w:rPr>
          <w:bCs/>
          <w:caps w:val="0"/>
        </w:rPr>
        <w:t>July 31, 2015</w:t>
      </w:r>
      <w:r w:rsidRPr="00156CAB">
        <w:rPr>
          <w:b w:val="0"/>
          <w:bCs/>
          <w:caps w:val="0"/>
          <w:szCs w:val="24"/>
        </w:rPr>
        <w:t>.</w:t>
      </w:r>
      <w:r w:rsidRPr="00156CAB">
        <w:rPr>
          <w:b w:val="0"/>
          <w:bCs/>
          <w:caps w:val="0"/>
        </w:rPr>
        <w:t xml:space="preserve"> </w:t>
      </w:r>
      <w:r w:rsidR="00145C6D">
        <w:rPr>
          <w:b w:val="0"/>
          <w:bCs/>
          <w:caps w:val="0"/>
        </w:rPr>
        <w:t xml:space="preserve">The field </w:t>
      </w:r>
      <w:r w:rsidR="00172DE1">
        <w:rPr>
          <w:b w:val="0"/>
          <w:bCs/>
          <w:caps w:val="0"/>
        </w:rPr>
        <w:t xml:space="preserve">excavations were followed by </w:t>
      </w:r>
      <w:r w:rsidR="009252B9">
        <w:rPr>
          <w:b w:val="0"/>
          <w:bCs/>
          <w:caps w:val="0"/>
        </w:rPr>
        <w:t>two</w:t>
      </w:r>
      <w:r w:rsidR="00145C6D">
        <w:rPr>
          <w:b w:val="0"/>
          <w:bCs/>
          <w:caps w:val="0"/>
        </w:rPr>
        <w:t xml:space="preserve"> months of </w:t>
      </w:r>
      <w:r w:rsidR="002A246B">
        <w:rPr>
          <w:b w:val="0"/>
          <w:bCs/>
          <w:caps w:val="0"/>
        </w:rPr>
        <w:t xml:space="preserve">laboratory analysis and research, </w:t>
      </w:r>
      <w:r w:rsidR="00145C6D">
        <w:rPr>
          <w:b w:val="0"/>
          <w:bCs/>
          <w:caps w:val="0"/>
        </w:rPr>
        <w:t>conducted between Se</w:t>
      </w:r>
      <w:r w:rsidR="00CA0AF6">
        <w:rPr>
          <w:b w:val="0"/>
          <w:bCs/>
          <w:caps w:val="0"/>
        </w:rPr>
        <w:t>ptember 14 and November 20</w:t>
      </w:r>
      <w:r w:rsidR="00993F0C">
        <w:rPr>
          <w:b w:val="0"/>
          <w:bCs/>
          <w:caps w:val="0"/>
        </w:rPr>
        <w:t>, 2015</w:t>
      </w:r>
      <w:r w:rsidR="002A246B">
        <w:rPr>
          <w:b w:val="0"/>
          <w:bCs/>
          <w:caps w:val="0"/>
        </w:rPr>
        <w:t>, in preparation of reports and conference presenta</w:t>
      </w:r>
      <w:r w:rsidR="00743611">
        <w:rPr>
          <w:b w:val="0"/>
          <w:bCs/>
          <w:caps w:val="0"/>
        </w:rPr>
        <w:t xml:space="preserve">tions on the </w:t>
      </w:r>
      <w:r w:rsidR="00172DE1">
        <w:rPr>
          <w:b w:val="0"/>
          <w:bCs/>
          <w:caps w:val="0"/>
        </w:rPr>
        <w:t xml:space="preserve">results of </w:t>
      </w:r>
      <w:r w:rsidR="00993F0C">
        <w:rPr>
          <w:b w:val="0"/>
          <w:bCs/>
          <w:caps w:val="0"/>
        </w:rPr>
        <w:t>the 2015</w:t>
      </w:r>
      <w:r w:rsidR="002A246B">
        <w:rPr>
          <w:b w:val="0"/>
          <w:bCs/>
          <w:caps w:val="0"/>
        </w:rPr>
        <w:t xml:space="preserve"> season</w:t>
      </w:r>
      <w:r w:rsidR="00145C6D">
        <w:rPr>
          <w:b w:val="0"/>
          <w:bCs/>
          <w:caps w:val="0"/>
        </w:rPr>
        <w:t>.</w:t>
      </w:r>
    </w:p>
    <w:p w:rsidR="002F7E88" w:rsidRPr="00145C6D" w:rsidRDefault="00145C6D" w:rsidP="00910924">
      <w:pPr>
        <w:pStyle w:val="Subtitle"/>
        <w:spacing w:line="480" w:lineRule="auto"/>
        <w:jc w:val="both"/>
        <w:rPr>
          <w:b w:val="0"/>
          <w:bCs/>
          <w:caps w:val="0"/>
        </w:rPr>
      </w:pPr>
      <w:r>
        <w:rPr>
          <w:b w:val="0"/>
          <w:bCs/>
          <w:caps w:val="0"/>
        </w:rPr>
        <w:tab/>
      </w:r>
      <w:r w:rsidR="002F7E88" w:rsidRPr="00156CAB">
        <w:rPr>
          <w:b w:val="0"/>
          <w:bCs/>
          <w:caps w:val="0"/>
        </w:rPr>
        <w:t xml:space="preserve">The </w:t>
      </w:r>
      <w:r w:rsidR="00993F0C">
        <w:rPr>
          <w:b w:val="0"/>
          <w:bCs/>
          <w:caps w:val="0"/>
        </w:rPr>
        <w:t>2015</w:t>
      </w:r>
      <w:r w:rsidR="002A246B">
        <w:rPr>
          <w:b w:val="0"/>
          <w:bCs/>
          <w:caps w:val="0"/>
        </w:rPr>
        <w:t xml:space="preserve"> TAP</w:t>
      </w:r>
      <w:r w:rsidR="002F7E88" w:rsidRPr="00156CAB">
        <w:rPr>
          <w:b w:val="0"/>
          <w:bCs/>
          <w:caps w:val="0"/>
        </w:rPr>
        <w:t xml:space="preserve"> senior staff consisted of Dr. Timothy Harrison (Project Director), </w:t>
      </w:r>
      <w:r>
        <w:rPr>
          <w:b w:val="0"/>
          <w:bCs/>
          <w:caps w:val="0"/>
        </w:rPr>
        <w:t xml:space="preserve">Dr. </w:t>
      </w:r>
      <w:proofErr w:type="spellStart"/>
      <w:r>
        <w:rPr>
          <w:b w:val="0"/>
          <w:bCs/>
          <w:caps w:val="0"/>
        </w:rPr>
        <w:t>Elif</w:t>
      </w:r>
      <w:proofErr w:type="spellEnd"/>
      <w:r>
        <w:rPr>
          <w:b w:val="0"/>
          <w:bCs/>
          <w:caps w:val="0"/>
        </w:rPr>
        <w:t xml:space="preserve"> Denel (Assistant Director</w:t>
      </w:r>
      <w:r w:rsidR="009252B9">
        <w:rPr>
          <w:b w:val="0"/>
          <w:bCs/>
          <w:caps w:val="0"/>
        </w:rPr>
        <w:t xml:space="preserve"> and Field 7 Operations</w:t>
      </w:r>
      <w:r>
        <w:rPr>
          <w:b w:val="0"/>
          <w:bCs/>
          <w:caps w:val="0"/>
        </w:rPr>
        <w:t xml:space="preserve">), </w:t>
      </w:r>
      <w:r w:rsidR="002F7E88" w:rsidRPr="00156CAB">
        <w:rPr>
          <w:b w:val="0"/>
          <w:bCs/>
          <w:caps w:val="0"/>
        </w:rPr>
        <w:t xml:space="preserve">Dr. Stephen </w:t>
      </w:r>
      <w:proofErr w:type="spellStart"/>
      <w:r w:rsidR="002F7E88" w:rsidRPr="00156CAB">
        <w:rPr>
          <w:b w:val="0"/>
          <w:bCs/>
          <w:caps w:val="0"/>
        </w:rPr>
        <w:t>Batiu</w:t>
      </w:r>
      <w:r w:rsidR="00D958E0">
        <w:rPr>
          <w:b w:val="0"/>
          <w:bCs/>
          <w:caps w:val="0"/>
        </w:rPr>
        <w:t>k</w:t>
      </w:r>
      <w:proofErr w:type="spellEnd"/>
      <w:r w:rsidR="00D958E0">
        <w:rPr>
          <w:b w:val="0"/>
          <w:bCs/>
          <w:caps w:val="0"/>
        </w:rPr>
        <w:t xml:space="preserve"> (Senior Field Archaeologist)</w:t>
      </w:r>
      <w:r w:rsidR="002F7E88" w:rsidRPr="00156CAB">
        <w:rPr>
          <w:b w:val="0"/>
          <w:bCs/>
          <w:caps w:val="0"/>
        </w:rPr>
        <w:t xml:space="preserve">, </w:t>
      </w:r>
      <w:r>
        <w:rPr>
          <w:b w:val="0"/>
          <w:bCs/>
          <w:caps w:val="0"/>
        </w:rPr>
        <w:t xml:space="preserve">Dr. </w:t>
      </w:r>
      <w:r w:rsidRPr="00156CAB">
        <w:rPr>
          <w:b w:val="0"/>
          <w:bCs/>
          <w:caps w:val="0"/>
        </w:rPr>
        <w:t xml:space="preserve">Lynn </w:t>
      </w:r>
      <w:proofErr w:type="spellStart"/>
      <w:r w:rsidRPr="00156CAB">
        <w:rPr>
          <w:b w:val="0"/>
          <w:bCs/>
          <w:caps w:val="0"/>
        </w:rPr>
        <w:t>Welton</w:t>
      </w:r>
      <w:proofErr w:type="spellEnd"/>
      <w:r w:rsidR="00993F0C">
        <w:rPr>
          <w:b w:val="0"/>
          <w:bCs/>
          <w:caps w:val="0"/>
        </w:rPr>
        <w:t xml:space="preserve"> (Field 1 Operations)</w:t>
      </w:r>
      <w:r w:rsidR="008D32A9">
        <w:rPr>
          <w:b w:val="0"/>
          <w:bCs/>
          <w:caps w:val="0"/>
        </w:rPr>
        <w:t xml:space="preserve">, </w:t>
      </w:r>
      <w:r w:rsidR="009252B9">
        <w:rPr>
          <w:b w:val="0"/>
          <w:bCs/>
          <w:caps w:val="0"/>
        </w:rPr>
        <w:t xml:space="preserve">Dr. </w:t>
      </w:r>
      <w:r w:rsidR="009252B9" w:rsidRPr="00156CAB">
        <w:rPr>
          <w:b w:val="0"/>
          <w:bCs/>
          <w:caps w:val="0"/>
        </w:rPr>
        <w:t>James Osborne</w:t>
      </w:r>
      <w:r w:rsidR="009252B9">
        <w:rPr>
          <w:b w:val="0"/>
          <w:bCs/>
          <w:caps w:val="0"/>
        </w:rPr>
        <w:t xml:space="preserve"> (Lower Town Survey),</w:t>
      </w:r>
      <w:r w:rsidR="009252B9" w:rsidRPr="00156CAB">
        <w:rPr>
          <w:b w:val="0"/>
          <w:bCs/>
          <w:caps w:val="0"/>
        </w:rPr>
        <w:t xml:space="preserve"> </w:t>
      </w:r>
      <w:r w:rsidR="00064650">
        <w:rPr>
          <w:b w:val="0"/>
          <w:bCs/>
          <w:caps w:val="0"/>
        </w:rPr>
        <w:t xml:space="preserve">Dr. Mark </w:t>
      </w:r>
      <w:proofErr w:type="spellStart"/>
      <w:r w:rsidR="00064650">
        <w:rPr>
          <w:b w:val="0"/>
          <w:bCs/>
          <w:caps w:val="0"/>
        </w:rPr>
        <w:t>Weeden</w:t>
      </w:r>
      <w:proofErr w:type="spellEnd"/>
      <w:r w:rsidR="00064650">
        <w:rPr>
          <w:b w:val="0"/>
          <w:bCs/>
          <w:caps w:val="0"/>
        </w:rPr>
        <w:t xml:space="preserve"> (Epigrapher), </w:t>
      </w:r>
      <w:proofErr w:type="spellStart"/>
      <w:r w:rsidR="00064650">
        <w:rPr>
          <w:b w:val="0"/>
          <w:bCs/>
          <w:caps w:val="0"/>
        </w:rPr>
        <w:t>Doğa</w:t>
      </w:r>
      <w:proofErr w:type="spellEnd"/>
      <w:r w:rsidR="00064650">
        <w:rPr>
          <w:b w:val="0"/>
          <w:bCs/>
          <w:caps w:val="0"/>
        </w:rPr>
        <w:t xml:space="preserve"> </w:t>
      </w:r>
      <w:proofErr w:type="spellStart"/>
      <w:r w:rsidR="00064650">
        <w:rPr>
          <w:b w:val="0"/>
          <w:bCs/>
          <w:caps w:val="0"/>
        </w:rPr>
        <w:t>Karakaya</w:t>
      </w:r>
      <w:proofErr w:type="spellEnd"/>
      <w:r w:rsidR="00064650">
        <w:rPr>
          <w:b w:val="0"/>
          <w:bCs/>
          <w:caps w:val="0"/>
        </w:rPr>
        <w:t xml:space="preserve"> (</w:t>
      </w:r>
      <w:proofErr w:type="spellStart"/>
      <w:r w:rsidR="00064650">
        <w:rPr>
          <w:b w:val="0"/>
          <w:bCs/>
          <w:caps w:val="0"/>
        </w:rPr>
        <w:t>Paleoethnobotanical</w:t>
      </w:r>
      <w:proofErr w:type="spellEnd"/>
      <w:r w:rsidR="00064650">
        <w:rPr>
          <w:b w:val="0"/>
          <w:bCs/>
          <w:caps w:val="0"/>
        </w:rPr>
        <w:t xml:space="preserve"> Specialist),</w:t>
      </w:r>
      <w:r w:rsidR="00993F0C">
        <w:rPr>
          <w:b w:val="0"/>
          <w:bCs/>
          <w:caps w:val="0"/>
        </w:rPr>
        <w:t xml:space="preserve"> and</w:t>
      </w:r>
      <w:r w:rsidR="00064650">
        <w:rPr>
          <w:b w:val="0"/>
          <w:bCs/>
          <w:caps w:val="0"/>
        </w:rPr>
        <w:t xml:space="preserve"> </w:t>
      </w:r>
      <w:r>
        <w:rPr>
          <w:b w:val="0"/>
          <w:bCs/>
          <w:caps w:val="0"/>
        </w:rPr>
        <w:t xml:space="preserve">Dr. </w:t>
      </w:r>
      <w:r w:rsidR="002F7E88" w:rsidRPr="00156CAB">
        <w:rPr>
          <w:b w:val="0"/>
          <w:bCs/>
          <w:caps w:val="0"/>
        </w:rPr>
        <w:t xml:space="preserve">Fiona </w:t>
      </w:r>
      <w:proofErr w:type="spellStart"/>
      <w:r w:rsidR="002F7E88" w:rsidRPr="00156CAB">
        <w:rPr>
          <w:b w:val="0"/>
          <w:bCs/>
          <w:caps w:val="0"/>
        </w:rPr>
        <w:t>Haughey</w:t>
      </w:r>
      <w:proofErr w:type="spellEnd"/>
      <w:r w:rsidR="002F7E88" w:rsidRPr="00156CAB">
        <w:rPr>
          <w:b w:val="0"/>
          <w:bCs/>
          <w:caps w:val="0"/>
        </w:rPr>
        <w:t xml:space="preserve"> (Artifact Illustrator</w:t>
      </w:r>
      <w:r>
        <w:rPr>
          <w:b w:val="0"/>
          <w:bCs/>
          <w:caps w:val="0"/>
        </w:rPr>
        <w:t xml:space="preserve"> and </w:t>
      </w:r>
      <w:r w:rsidR="009252B9">
        <w:rPr>
          <w:b w:val="0"/>
          <w:bCs/>
          <w:caps w:val="0"/>
        </w:rPr>
        <w:t>Registrar</w:t>
      </w:r>
      <w:r w:rsidR="00D958E0">
        <w:rPr>
          <w:b w:val="0"/>
          <w:bCs/>
          <w:caps w:val="0"/>
        </w:rPr>
        <w:t>)</w:t>
      </w:r>
      <w:r w:rsidR="008C3364">
        <w:rPr>
          <w:b w:val="0"/>
          <w:bCs/>
          <w:caps w:val="0"/>
        </w:rPr>
        <w:t>.</w:t>
      </w:r>
      <w:r w:rsidR="002A246B">
        <w:rPr>
          <w:b w:val="0"/>
          <w:bCs/>
          <w:caps w:val="0"/>
        </w:rPr>
        <w:t xml:space="preserve"> </w:t>
      </w:r>
      <w:r w:rsidR="002F7E88" w:rsidRPr="00156CAB">
        <w:rPr>
          <w:b w:val="0"/>
          <w:bCs/>
          <w:caps w:val="0"/>
        </w:rPr>
        <w:t>The project was assisted by</w:t>
      </w:r>
      <w:r w:rsidR="00E528EF">
        <w:rPr>
          <w:b w:val="0"/>
          <w:bCs/>
          <w:caps w:val="0"/>
        </w:rPr>
        <w:t xml:space="preserve"> </w:t>
      </w:r>
      <w:r w:rsidR="00821290">
        <w:rPr>
          <w:b w:val="0"/>
          <w:bCs/>
          <w:caps w:val="0"/>
        </w:rPr>
        <w:t>nine</w:t>
      </w:r>
      <w:r w:rsidR="002F7E88" w:rsidRPr="00156CAB">
        <w:rPr>
          <w:b w:val="0"/>
          <w:bCs/>
          <w:caps w:val="0"/>
        </w:rPr>
        <w:t xml:space="preserve"> </w:t>
      </w:r>
      <w:r w:rsidR="003C08CA">
        <w:rPr>
          <w:b w:val="0"/>
          <w:bCs/>
          <w:caps w:val="0"/>
        </w:rPr>
        <w:t>advanced archaeology</w:t>
      </w:r>
      <w:r w:rsidR="002F7E88" w:rsidRPr="00156CAB">
        <w:rPr>
          <w:b w:val="0"/>
          <w:bCs/>
          <w:caps w:val="0"/>
        </w:rPr>
        <w:t xml:space="preserve"> students from</w:t>
      </w:r>
      <w:r w:rsidR="003C08CA">
        <w:rPr>
          <w:b w:val="0"/>
          <w:bCs/>
          <w:caps w:val="0"/>
        </w:rPr>
        <w:t xml:space="preserve"> </w:t>
      </w:r>
      <w:proofErr w:type="spellStart"/>
      <w:r w:rsidR="003C08CA">
        <w:rPr>
          <w:b w:val="0"/>
          <w:bCs/>
          <w:caps w:val="0"/>
        </w:rPr>
        <w:t>Boğazici</w:t>
      </w:r>
      <w:proofErr w:type="spellEnd"/>
      <w:r w:rsidR="003C08CA">
        <w:rPr>
          <w:b w:val="0"/>
          <w:bCs/>
          <w:caps w:val="0"/>
        </w:rPr>
        <w:t xml:space="preserve"> University,</w:t>
      </w:r>
      <w:r w:rsidR="002F7E88" w:rsidRPr="00156CAB">
        <w:rPr>
          <w:b w:val="0"/>
          <w:bCs/>
          <w:caps w:val="0"/>
        </w:rPr>
        <w:t xml:space="preserve"> </w:t>
      </w:r>
      <w:r w:rsidR="003C08CA">
        <w:rPr>
          <w:b w:val="0"/>
          <w:bCs/>
          <w:caps w:val="0"/>
        </w:rPr>
        <w:t xml:space="preserve">Bryn </w:t>
      </w:r>
      <w:proofErr w:type="spellStart"/>
      <w:r w:rsidR="003C08CA">
        <w:rPr>
          <w:b w:val="0"/>
          <w:bCs/>
          <w:caps w:val="0"/>
        </w:rPr>
        <w:t>Mawr</w:t>
      </w:r>
      <w:proofErr w:type="spellEnd"/>
      <w:r w:rsidR="003C08CA">
        <w:rPr>
          <w:b w:val="0"/>
          <w:bCs/>
          <w:caps w:val="0"/>
        </w:rPr>
        <w:t>, Brown University</w:t>
      </w:r>
      <w:r w:rsidR="00064650">
        <w:rPr>
          <w:b w:val="0"/>
          <w:bCs/>
          <w:caps w:val="0"/>
        </w:rPr>
        <w:t>,</w:t>
      </w:r>
      <w:r w:rsidR="00D958E0">
        <w:rPr>
          <w:b w:val="0"/>
          <w:bCs/>
          <w:caps w:val="0"/>
        </w:rPr>
        <w:t xml:space="preserve"> </w:t>
      </w:r>
      <w:proofErr w:type="spellStart"/>
      <w:r w:rsidR="008D32A9">
        <w:rPr>
          <w:b w:val="0"/>
          <w:bCs/>
          <w:caps w:val="0"/>
        </w:rPr>
        <w:t>Koç</w:t>
      </w:r>
      <w:proofErr w:type="spellEnd"/>
      <w:r w:rsidR="008D32A9">
        <w:rPr>
          <w:b w:val="0"/>
          <w:bCs/>
          <w:caps w:val="0"/>
        </w:rPr>
        <w:t xml:space="preserve"> University</w:t>
      </w:r>
      <w:r w:rsidR="009D13A8">
        <w:rPr>
          <w:b w:val="0"/>
          <w:bCs/>
          <w:caps w:val="0"/>
        </w:rPr>
        <w:t xml:space="preserve">, </w:t>
      </w:r>
      <w:r w:rsidR="003C08CA">
        <w:rPr>
          <w:b w:val="0"/>
          <w:bCs/>
          <w:caps w:val="0"/>
        </w:rPr>
        <w:t>Mustafa Kemal University,</w:t>
      </w:r>
      <w:r w:rsidR="00821290">
        <w:rPr>
          <w:b w:val="0"/>
          <w:bCs/>
          <w:caps w:val="0"/>
        </w:rPr>
        <w:t xml:space="preserve"> the University of California at Los Angeles (UCLA),</w:t>
      </w:r>
      <w:r w:rsidR="003C08CA">
        <w:rPr>
          <w:b w:val="0"/>
          <w:bCs/>
          <w:caps w:val="0"/>
        </w:rPr>
        <w:t xml:space="preserve"> </w:t>
      </w:r>
      <w:r w:rsidR="002A246B">
        <w:rPr>
          <w:b w:val="0"/>
          <w:bCs/>
          <w:caps w:val="0"/>
        </w:rPr>
        <w:t xml:space="preserve">and the </w:t>
      </w:r>
      <w:r w:rsidR="0036482A">
        <w:rPr>
          <w:b w:val="0"/>
          <w:bCs/>
          <w:caps w:val="0"/>
        </w:rPr>
        <w:t>University of Toronto</w:t>
      </w:r>
      <w:r w:rsidR="002F7E88" w:rsidRPr="00156CAB">
        <w:rPr>
          <w:b w:val="0"/>
          <w:bCs/>
          <w:caps w:val="0"/>
        </w:rPr>
        <w:t xml:space="preserve">. </w:t>
      </w:r>
      <w:r w:rsidR="002F7E88" w:rsidRPr="00CE1171">
        <w:rPr>
          <w:b w:val="0"/>
          <w:bCs/>
          <w:caps w:val="0"/>
          <w:szCs w:val="24"/>
        </w:rPr>
        <w:t>M</w:t>
      </w:r>
      <w:r w:rsidR="003C08CA">
        <w:rPr>
          <w:b w:val="0"/>
          <w:bCs/>
          <w:caps w:val="0"/>
          <w:szCs w:val="24"/>
        </w:rPr>
        <w:t xml:space="preserve">s. </w:t>
      </w:r>
      <w:proofErr w:type="spellStart"/>
      <w:r w:rsidR="003C08CA">
        <w:rPr>
          <w:b w:val="0"/>
          <w:bCs/>
          <w:caps w:val="0"/>
          <w:szCs w:val="24"/>
        </w:rPr>
        <w:t>Nesrin</w:t>
      </w:r>
      <w:proofErr w:type="spellEnd"/>
      <w:r w:rsidR="003C08CA">
        <w:rPr>
          <w:b w:val="0"/>
          <w:bCs/>
          <w:caps w:val="0"/>
          <w:szCs w:val="24"/>
        </w:rPr>
        <w:t xml:space="preserve"> </w:t>
      </w:r>
      <w:proofErr w:type="spellStart"/>
      <w:r w:rsidR="003C08CA">
        <w:rPr>
          <w:b w:val="0"/>
          <w:bCs/>
          <w:caps w:val="0"/>
          <w:szCs w:val="24"/>
        </w:rPr>
        <w:t>Demirhan</w:t>
      </w:r>
      <w:proofErr w:type="spellEnd"/>
      <w:r w:rsidR="00CE1171" w:rsidRPr="00156CAB">
        <w:rPr>
          <w:b w:val="0"/>
          <w:bCs/>
          <w:caps w:val="0"/>
        </w:rPr>
        <w:t xml:space="preserve"> </w:t>
      </w:r>
      <w:r w:rsidR="002F7E88" w:rsidRPr="00156CAB">
        <w:rPr>
          <w:b w:val="0"/>
          <w:bCs/>
          <w:caps w:val="0"/>
        </w:rPr>
        <w:t>served as government representative on behalf of the Directorate of Cultural Heritage and Museums.</w:t>
      </w:r>
    </w:p>
    <w:p w:rsidR="002F7E88" w:rsidRDefault="002F7E88" w:rsidP="00910924">
      <w:pPr>
        <w:pStyle w:val="BodyText"/>
        <w:spacing w:line="480" w:lineRule="auto"/>
      </w:pPr>
      <w:r>
        <w:tab/>
        <w:t>Th</w:t>
      </w:r>
      <w:r w:rsidR="003C08CA">
        <w:t>e primary objectives of the 2015</w:t>
      </w:r>
      <w:r>
        <w:t xml:space="preserve"> T</w:t>
      </w:r>
      <w:r w:rsidR="00D958E0">
        <w:t>AP</w:t>
      </w:r>
      <w:r w:rsidR="00CE1171">
        <w:t xml:space="preserve"> field season were</w:t>
      </w:r>
      <w:r w:rsidR="00BA7505">
        <w:t xml:space="preserve"> as follows:</w:t>
      </w:r>
      <w:r w:rsidR="00CE1171">
        <w:t xml:space="preserve"> </w:t>
      </w:r>
      <w:r w:rsidR="003C08CA">
        <w:t>(1) conduct</w:t>
      </w:r>
      <w:r w:rsidR="00660E80">
        <w:t xml:space="preserve"> excavations in Fields 1 and 7</w:t>
      </w:r>
      <w:r w:rsidR="003C08CA">
        <w:t xml:space="preserve"> to resolve </w:t>
      </w:r>
      <w:r w:rsidR="00660E80">
        <w:t>important stratigraphic questions, as part of the ongoing Phase Two (2011-2015) investigations, and in preparation for large scale excavations anticipated in Phase Three</w:t>
      </w:r>
      <w:r w:rsidR="00201911">
        <w:t xml:space="preserve"> (2016-2020) of TAP</w:t>
      </w:r>
      <w:r w:rsidR="00660E80">
        <w:t>;</w:t>
      </w:r>
      <w:r w:rsidR="003C08CA">
        <w:t xml:space="preserve"> (2</w:t>
      </w:r>
      <w:r w:rsidR="00BA7505">
        <w:t>)</w:t>
      </w:r>
      <w:r w:rsidR="00CE1171">
        <w:t xml:space="preserve"> </w:t>
      </w:r>
      <w:r w:rsidR="003C08CA">
        <w:t>complete an</w:t>
      </w:r>
      <w:r w:rsidR="009C687A">
        <w:t xml:space="preserve"> intensive systematic surface survey of the lower town settlement</w:t>
      </w:r>
      <w:r w:rsidR="00CE1171">
        <w:t xml:space="preserve">; </w:t>
      </w:r>
      <w:r w:rsidR="00660E80">
        <w:t>(3</w:t>
      </w:r>
      <w:r w:rsidR="009C687A">
        <w:t xml:space="preserve">) </w:t>
      </w:r>
      <w:r w:rsidR="003C08CA">
        <w:t>continue</w:t>
      </w:r>
      <w:r w:rsidR="009C687A">
        <w:t xml:space="preserve"> the</w:t>
      </w:r>
      <w:r w:rsidR="00AF5870">
        <w:t xml:space="preserve"> ‘soft capping’ conservation program for</w:t>
      </w:r>
      <w:r w:rsidR="001E5FBA">
        <w:t xml:space="preserve"> the monumental </w:t>
      </w:r>
      <w:r w:rsidR="00AF5870">
        <w:t xml:space="preserve">mudbrick </w:t>
      </w:r>
      <w:r w:rsidR="001E5FBA">
        <w:t xml:space="preserve">architecture </w:t>
      </w:r>
      <w:r w:rsidR="009C687A">
        <w:t>on the Neo-Hittite citadel</w:t>
      </w:r>
      <w:r w:rsidR="001E5FBA">
        <w:t xml:space="preserve">, </w:t>
      </w:r>
      <w:r w:rsidR="009C687A">
        <w:t>in pa</w:t>
      </w:r>
      <w:r w:rsidR="00AF5870">
        <w:t xml:space="preserve">rticular Temple </w:t>
      </w:r>
      <w:r w:rsidR="003C08CA">
        <w:t>II in Field 1</w:t>
      </w:r>
      <w:r w:rsidR="00660E80">
        <w:t xml:space="preserve">, </w:t>
      </w:r>
      <w:r w:rsidR="001E5FBA">
        <w:t>as part of the pla</w:t>
      </w:r>
      <w:r w:rsidR="00AF5870">
        <w:t xml:space="preserve">nned archaeological park; (4) </w:t>
      </w:r>
      <w:r w:rsidR="003C08CA">
        <w:t>and continue ongoing</w:t>
      </w:r>
      <w:r w:rsidR="00AF5870">
        <w:t xml:space="preserve"> analyses of the artifact assemblages recovered from previous field seasons in Fields 1, 5, and 7</w:t>
      </w:r>
      <w:r>
        <w:t>.</w:t>
      </w:r>
    </w:p>
    <w:p w:rsidR="00201911" w:rsidRPr="006E47CF" w:rsidRDefault="00973A94" w:rsidP="00201911">
      <w:pPr>
        <w:pStyle w:val="BodyText"/>
        <w:spacing w:line="480" w:lineRule="auto"/>
        <w:jc w:val="center"/>
        <w:rPr>
          <w:b/>
          <w:smallCaps/>
        </w:rPr>
      </w:pPr>
      <w:r>
        <w:rPr>
          <w:b/>
          <w:smallCaps/>
        </w:rPr>
        <w:t>Field 1</w:t>
      </w:r>
      <w:r w:rsidR="008D6858">
        <w:rPr>
          <w:b/>
          <w:smallCaps/>
        </w:rPr>
        <w:t xml:space="preserve"> </w:t>
      </w:r>
      <w:proofErr w:type="gramStart"/>
      <w:r w:rsidR="008D6858">
        <w:rPr>
          <w:b/>
          <w:smallCaps/>
        </w:rPr>
        <w:t>Excavation</w:t>
      </w:r>
      <w:r>
        <w:rPr>
          <w:b/>
          <w:smallCaps/>
        </w:rPr>
        <w:t>s</w:t>
      </w:r>
      <w:proofErr w:type="gramEnd"/>
      <w:r w:rsidR="00201911">
        <w:rPr>
          <w:b/>
          <w:smallCaps/>
        </w:rPr>
        <w:t xml:space="preserve"> (</w:t>
      </w:r>
      <w:r w:rsidR="008D6858">
        <w:rPr>
          <w:b/>
          <w:smallCaps/>
        </w:rPr>
        <w:t xml:space="preserve">L. </w:t>
      </w:r>
      <w:proofErr w:type="spellStart"/>
      <w:r w:rsidR="008D6858">
        <w:rPr>
          <w:b/>
          <w:smallCaps/>
        </w:rPr>
        <w:t>Welton</w:t>
      </w:r>
      <w:proofErr w:type="spellEnd"/>
      <w:r w:rsidR="00201911">
        <w:rPr>
          <w:b/>
          <w:smallCaps/>
        </w:rPr>
        <w:t>)</w:t>
      </w:r>
    </w:p>
    <w:p w:rsidR="00584804" w:rsidRPr="00584804" w:rsidRDefault="00584804" w:rsidP="00910924">
      <w:pPr>
        <w:pStyle w:val="BodyText"/>
        <w:spacing w:line="480" w:lineRule="auto"/>
        <w:rPr>
          <w:b/>
        </w:rPr>
      </w:pPr>
      <w:r w:rsidRPr="00584804">
        <w:rPr>
          <w:b/>
        </w:rPr>
        <w:t>Squares G4.55 and G4.56</w:t>
      </w:r>
      <w:r w:rsidR="008C0D51">
        <w:rPr>
          <w:b/>
        </w:rPr>
        <w:t xml:space="preserve"> (Ö. </w:t>
      </w:r>
      <w:proofErr w:type="spellStart"/>
      <w:r w:rsidR="008C0D51">
        <w:rPr>
          <w:b/>
        </w:rPr>
        <w:t>Demirci</w:t>
      </w:r>
      <w:proofErr w:type="spellEnd"/>
      <w:r w:rsidR="008C0D51">
        <w:rPr>
          <w:b/>
        </w:rPr>
        <w:t xml:space="preserve"> and L. </w:t>
      </w:r>
      <w:proofErr w:type="spellStart"/>
      <w:r w:rsidR="008C0D51">
        <w:rPr>
          <w:b/>
        </w:rPr>
        <w:t>Welton</w:t>
      </w:r>
      <w:proofErr w:type="spellEnd"/>
      <w:r w:rsidR="008C0D51">
        <w:rPr>
          <w:b/>
        </w:rPr>
        <w:t>)</w:t>
      </w:r>
    </w:p>
    <w:p w:rsidR="00201911" w:rsidRDefault="008D6858" w:rsidP="00910924">
      <w:pPr>
        <w:pStyle w:val="BodyText"/>
        <w:spacing w:line="480" w:lineRule="auto"/>
      </w:pPr>
      <w:r>
        <w:lastRenderedPageBreak/>
        <w:tab/>
      </w:r>
      <w:r w:rsidR="00584804">
        <w:t>The primary focus of the investigations in Squares G4.55 and G4.56 involved the cleaning of balk collapse along the north balk of the two squares that had occurred underneath the protective geotextile covering installed during the off-season between 2012 and 2015. A substantial amount of balk collapse had occurred, predominantly along the north balk of Square G4.55. This included slump of some of the softer, ashier material at the base of the balk, from the Early Bronze levels (Field Phases</w:t>
      </w:r>
      <w:r w:rsidR="00007036">
        <w:t xml:space="preserve"> [FP]</w:t>
      </w:r>
      <w:r w:rsidR="00584804">
        <w:t xml:space="preserve"> 7-8), as well as larger sections of the balk that collapsed almost intact from the superimposed Iron I levels, probably due to being undermined by the slumping of the lower material.</w:t>
      </w:r>
      <w:r w:rsidR="00D14EBB">
        <w:t xml:space="preserve"> Considerable effort was devoted to trimming and cleaning the balk, which helped to clarify important stratigraphic details of the Early Bronze and Iron I levels, while also stabilizing the</w:t>
      </w:r>
      <w:r w:rsidR="008C0D51">
        <w:t xml:space="preserve"> entire section across both squares.</w:t>
      </w:r>
    </w:p>
    <w:p w:rsidR="00201911" w:rsidRDefault="008D6858" w:rsidP="00910924">
      <w:pPr>
        <w:pStyle w:val="BodyText"/>
        <w:spacing w:line="480" w:lineRule="auto"/>
      </w:pPr>
      <w:r>
        <w:tab/>
      </w:r>
      <w:r w:rsidR="00007036">
        <w:t xml:space="preserve">A number of wall sections in Square G4.55 dating to the Early Bronze Age (specifically FP 8b) were also trimmed in order to better document their construction sequence, and clarify important stratigraphic questions that had remained concerning the large architectural structure previously excavated in this area. </w:t>
      </w:r>
      <w:r w:rsidR="00111F5F">
        <w:t xml:space="preserve">In the course of trimming and cleaning this area, traces of several stratigraphically earlier walls became visible, and were tentatively assigned to </w:t>
      </w:r>
      <w:r w:rsidR="008C0D51">
        <w:t>Field Phase 9, the earliest architectural phase excavated in Field 1 to date, and likely dating to late EB IVA (</w:t>
      </w:r>
      <w:proofErr w:type="spellStart"/>
      <w:r w:rsidR="008C0D51">
        <w:t>Amuq</w:t>
      </w:r>
      <w:proofErr w:type="spellEnd"/>
      <w:r w:rsidR="008C0D51">
        <w:t xml:space="preserve"> I), or early EB IVB (</w:t>
      </w:r>
      <w:proofErr w:type="spellStart"/>
      <w:r w:rsidR="008C0D51">
        <w:t>Amuq</w:t>
      </w:r>
      <w:proofErr w:type="spellEnd"/>
      <w:r w:rsidR="008C0D51">
        <w:t xml:space="preserve"> J).</w:t>
      </w:r>
    </w:p>
    <w:p w:rsidR="008C0D51" w:rsidRPr="00584804" w:rsidRDefault="008C0D51" w:rsidP="008C0D51">
      <w:pPr>
        <w:pStyle w:val="BodyText"/>
        <w:spacing w:line="480" w:lineRule="auto"/>
        <w:rPr>
          <w:b/>
        </w:rPr>
      </w:pPr>
      <w:r>
        <w:rPr>
          <w:b/>
        </w:rPr>
        <w:t>Square</w:t>
      </w:r>
      <w:r w:rsidRPr="00584804">
        <w:rPr>
          <w:b/>
        </w:rPr>
        <w:t xml:space="preserve"> </w:t>
      </w:r>
      <w:r>
        <w:rPr>
          <w:b/>
        </w:rPr>
        <w:t>G4.6</w:t>
      </w:r>
      <w:r w:rsidRPr="00584804">
        <w:rPr>
          <w:b/>
        </w:rPr>
        <w:t>6</w:t>
      </w:r>
      <w:r>
        <w:rPr>
          <w:b/>
        </w:rPr>
        <w:t xml:space="preserve"> (T. </w:t>
      </w:r>
      <w:proofErr w:type="spellStart"/>
      <w:r>
        <w:rPr>
          <w:b/>
        </w:rPr>
        <w:t>Spurrier</w:t>
      </w:r>
      <w:proofErr w:type="spellEnd"/>
      <w:r>
        <w:rPr>
          <w:b/>
        </w:rPr>
        <w:t xml:space="preserve"> and Z. </w:t>
      </w:r>
      <w:proofErr w:type="spellStart"/>
      <w:r>
        <w:rPr>
          <w:b/>
        </w:rPr>
        <w:t>Mutlu</w:t>
      </w:r>
      <w:proofErr w:type="spellEnd"/>
      <w:r>
        <w:rPr>
          <w:b/>
        </w:rPr>
        <w:t>)</w:t>
      </w:r>
    </w:p>
    <w:p w:rsidR="008C0D51" w:rsidRDefault="008C0D51" w:rsidP="00910924">
      <w:pPr>
        <w:pStyle w:val="BodyText"/>
        <w:spacing w:line="480" w:lineRule="auto"/>
      </w:pPr>
      <w:r>
        <w:tab/>
        <w:t xml:space="preserve">Excavations in Square G4.66 had reached Early Bronze Age levels in the western third of the square by the end of the 2012 season, but significant Iron I </w:t>
      </w:r>
      <w:r w:rsidR="00EE5E36">
        <w:t xml:space="preserve">deposits </w:t>
      </w:r>
      <w:r>
        <w:t xml:space="preserve">remained in the eastern part of square. </w:t>
      </w:r>
      <w:r w:rsidR="00EE5E36">
        <w:t xml:space="preserve">The investigations in Square </w:t>
      </w:r>
      <w:r>
        <w:t xml:space="preserve">G4.56 to the north had displayed a similar pattern, with the walls associated with </w:t>
      </w:r>
      <w:r w:rsidR="00EE5E36">
        <w:t xml:space="preserve">a large Early Bronze Age structure </w:t>
      </w:r>
      <w:r>
        <w:t>preserved at a higher level</w:t>
      </w:r>
      <w:r w:rsidR="00EE5E36">
        <w:t xml:space="preserve"> in the western part of the square, and conversely, the</w:t>
      </w:r>
      <w:r>
        <w:t xml:space="preserve"> Iron I deposits in the eastern two-thirds of the square </w:t>
      </w:r>
      <w:r w:rsidR="00EE5E36">
        <w:t>preserved to a greater depth.</w:t>
      </w:r>
      <w:r>
        <w:t xml:space="preserve"> In G4.56, these deeper Iron I deposits represented the earliest </w:t>
      </w:r>
      <w:r>
        <w:lastRenderedPageBreak/>
        <w:t xml:space="preserve">Iron I levels in the square, FP6c. </w:t>
      </w:r>
      <w:r w:rsidR="00EE5E36">
        <w:t>Somewhat s</w:t>
      </w:r>
      <w:r>
        <w:t>urprisingly</w:t>
      </w:r>
      <w:r w:rsidR="00EE5E36">
        <w:t>, however, the 2015 excavations in the eastern part of Square</w:t>
      </w:r>
      <w:r>
        <w:t xml:space="preserve"> G4.66 moved more quickly than expected into intact EBA levels. For the most part, t</w:t>
      </w:r>
      <w:r w:rsidR="00EE5E36">
        <w:t>he majority of the Iron I potte</w:t>
      </w:r>
      <w:r>
        <w:t>r</w:t>
      </w:r>
      <w:r w:rsidR="00EE5E36">
        <w:t>y</w:t>
      </w:r>
      <w:r>
        <w:t xml:space="preserve"> excavated </w:t>
      </w:r>
      <w:r w:rsidR="00EE5E36">
        <w:t xml:space="preserve">during the 2015 season </w:t>
      </w:r>
      <w:r>
        <w:t xml:space="preserve">in G4.66 is consistent with </w:t>
      </w:r>
      <w:r w:rsidR="00EE5E36">
        <w:t xml:space="preserve">the </w:t>
      </w:r>
      <w:r>
        <w:t>FP6b</w:t>
      </w:r>
      <w:r w:rsidR="00EE5E36">
        <w:t xml:space="preserve"> assemblage, and there we</w:t>
      </w:r>
      <w:r>
        <w:t xml:space="preserve">re comparatively few clean deposits where the ceramics </w:t>
      </w:r>
      <w:r w:rsidR="00EE5E36">
        <w:t>were comparable to</w:t>
      </w:r>
      <w:r w:rsidR="00D56EE3">
        <w:t xml:space="preserve"> the</w:t>
      </w:r>
      <w:r>
        <w:t xml:space="preserve"> FP6c </w:t>
      </w:r>
      <w:r w:rsidR="00D56EE3">
        <w:t>pottery found in</w:t>
      </w:r>
      <w:r>
        <w:t xml:space="preserve"> G4.56.</w:t>
      </w:r>
      <w:r w:rsidR="00FB194C">
        <w:t xml:space="preserve"> By the end of the season, EBA levels had been reached across the entire square, and the outlines of several walls had become visible.</w:t>
      </w:r>
    </w:p>
    <w:p w:rsidR="008D6858" w:rsidRPr="006E47CF" w:rsidRDefault="008D6858" w:rsidP="008D6858">
      <w:pPr>
        <w:pStyle w:val="BodyText"/>
        <w:spacing w:line="480" w:lineRule="auto"/>
        <w:jc w:val="center"/>
        <w:rPr>
          <w:b/>
          <w:smallCaps/>
        </w:rPr>
      </w:pPr>
      <w:r>
        <w:rPr>
          <w:b/>
          <w:smallCaps/>
        </w:rPr>
        <w:t>Field 7 Excavations (</w:t>
      </w:r>
      <w:r w:rsidR="008F5552">
        <w:rPr>
          <w:b/>
          <w:smallCaps/>
        </w:rPr>
        <w:t xml:space="preserve">Ö. </w:t>
      </w:r>
      <w:proofErr w:type="spellStart"/>
      <w:r w:rsidR="008F5552">
        <w:rPr>
          <w:b/>
          <w:smallCaps/>
        </w:rPr>
        <w:t>Demirci</w:t>
      </w:r>
      <w:proofErr w:type="spellEnd"/>
      <w:r w:rsidR="008F5552">
        <w:rPr>
          <w:b/>
          <w:smallCaps/>
        </w:rPr>
        <w:t xml:space="preserve"> and E. Denel</w:t>
      </w:r>
      <w:r>
        <w:rPr>
          <w:b/>
          <w:smallCaps/>
        </w:rPr>
        <w:t>)</w:t>
      </w:r>
    </w:p>
    <w:p w:rsidR="00CB092C" w:rsidRPr="00CB092C" w:rsidRDefault="00754A63" w:rsidP="008D6858">
      <w:pPr>
        <w:pStyle w:val="BodyText"/>
        <w:spacing w:line="480" w:lineRule="auto"/>
        <w:rPr>
          <w:b/>
        </w:rPr>
      </w:pPr>
      <w:r>
        <w:rPr>
          <w:b/>
        </w:rPr>
        <w:t>Square G4.5</w:t>
      </w:r>
      <w:r w:rsidR="00CB092C" w:rsidRPr="00CB092C">
        <w:rPr>
          <w:b/>
        </w:rPr>
        <w:t xml:space="preserve">8 (D. </w:t>
      </w:r>
      <w:proofErr w:type="spellStart"/>
      <w:r w:rsidR="00CB092C" w:rsidRPr="00CB092C">
        <w:rPr>
          <w:b/>
        </w:rPr>
        <w:t>Joblonkay</w:t>
      </w:r>
      <w:proofErr w:type="spellEnd"/>
      <w:r w:rsidR="00CB092C" w:rsidRPr="00CB092C">
        <w:rPr>
          <w:b/>
        </w:rPr>
        <w:t xml:space="preserve"> and E. </w:t>
      </w:r>
      <w:proofErr w:type="spellStart"/>
      <w:r w:rsidR="00CB092C" w:rsidRPr="00CB092C">
        <w:rPr>
          <w:b/>
        </w:rPr>
        <w:t>Künefeci</w:t>
      </w:r>
      <w:proofErr w:type="spellEnd"/>
      <w:r w:rsidR="00CB092C" w:rsidRPr="00CB092C">
        <w:rPr>
          <w:b/>
        </w:rPr>
        <w:t>)</w:t>
      </w:r>
    </w:p>
    <w:p w:rsidR="008D6858" w:rsidRDefault="008D6858" w:rsidP="008D6858">
      <w:pPr>
        <w:pStyle w:val="BodyText"/>
        <w:spacing w:line="480" w:lineRule="auto"/>
      </w:pPr>
      <w:r>
        <w:tab/>
      </w:r>
      <w:r w:rsidR="00CB092C">
        <w:t xml:space="preserve">The primary objective of the 2015 season for Field 7, and in particular </w:t>
      </w:r>
      <w:r w:rsidR="004B35B0">
        <w:t>Square G4.</w:t>
      </w:r>
      <w:r w:rsidR="00754A63">
        <w:t>5</w:t>
      </w:r>
      <w:r w:rsidR="00CB092C">
        <w:t>8, was to establish a clean stratigraphic sequence for the Iron II in</w:t>
      </w:r>
      <w:r w:rsidR="007F3606">
        <w:t xml:space="preserve"> order to better understand the archaeological context for the </w:t>
      </w:r>
      <w:r w:rsidR="00CB092C">
        <w:t xml:space="preserve">statuary </w:t>
      </w:r>
      <w:r w:rsidR="007F3606">
        <w:t xml:space="preserve">discovered in this area during </w:t>
      </w:r>
      <w:r w:rsidR="00CB092C">
        <w:t>previous seasons.</w:t>
      </w:r>
      <w:r w:rsidR="007F3606">
        <w:t xml:space="preserve"> </w:t>
      </w:r>
      <w:r w:rsidR="004B35B0">
        <w:t xml:space="preserve">The investigations were focused primarily in the northern part of the square, in the immediate vicinity of the discovery spots of the lion sculpture, the </w:t>
      </w:r>
      <w:proofErr w:type="spellStart"/>
      <w:r w:rsidR="004B35B0">
        <w:t>Suppiluliuma</w:t>
      </w:r>
      <w:proofErr w:type="spellEnd"/>
      <w:r w:rsidR="004B35B0">
        <w:t xml:space="preserve"> statue, and winged bull and sphinx column base. A series of sherd and pebble-lined surfaces were excavated, clarifying the stratigraphic sequence in this area. A substantial mudbrick wall was uncovered in the northern-most part of the square, largely hidden by the north balk. The wall was oriented NW to SE, extending across bot</w:t>
      </w:r>
      <w:r w:rsidR="00754A63">
        <w:t>h Squares G4.5</w:t>
      </w:r>
      <w:r w:rsidR="004B35B0">
        <w:t>8 and G4.</w:t>
      </w:r>
      <w:r w:rsidR="00754A63">
        <w:t>5</w:t>
      </w:r>
      <w:r w:rsidR="004B35B0">
        <w:t>9, and appeared to enclose the area to the south associated with the monumental sculptures.</w:t>
      </w:r>
    </w:p>
    <w:p w:rsidR="00CB092C" w:rsidRPr="00CB092C" w:rsidRDefault="00754A63" w:rsidP="00CB092C">
      <w:pPr>
        <w:pStyle w:val="BodyText"/>
        <w:spacing w:line="480" w:lineRule="auto"/>
        <w:rPr>
          <w:b/>
        </w:rPr>
      </w:pPr>
      <w:r>
        <w:rPr>
          <w:b/>
        </w:rPr>
        <w:t>Square G4.5</w:t>
      </w:r>
      <w:r w:rsidR="00CB092C">
        <w:rPr>
          <w:b/>
        </w:rPr>
        <w:t>9</w:t>
      </w:r>
      <w:r w:rsidR="00CB092C" w:rsidRPr="00CB092C">
        <w:rPr>
          <w:b/>
        </w:rPr>
        <w:t xml:space="preserve"> (</w:t>
      </w:r>
      <w:r w:rsidR="00CB092C">
        <w:rPr>
          <w:b/>
        </w:rPr>
        <w:t>M. Moore and G</w:t>
      </w:r>
      <w:r w:rsidR="00CB092C" w:rsidRPr="00CB092C">
        <w:rPr>
          <w:b/>
        </w:rPr>
        <w:t xml:space="preserve">. </w:t>
      </w:r>
      <w:proofErr w:type="spellStart"/>
      <w:r w:rsidR="00F95EA1">
        <w:rPr>
          <w:b/>
        </w:rPr>
        <w:t>T</w:t>
      </w:r>
      <w:r w:rsidR="00CB092C" w:rsidRPr="00CB092C">
        <w:rPr>
          <w:b/>
        </w:rPr>
        <w:t>ü</w:t>
      </w:r>
      <w:r w:rsidR="00F95EA1">
        <w:rPr>
          <w:b/>
        </w:rPr>
        <w:t>rköz</w:t>
      </w:r>
      <w:proofErr w:type="spellEnd"/>
      <w:r w:rsidR="00CB092C" w:rsidRPr="00CB092C">
        <w:rPr>
          <w:b/>
        </w:rPr>
        <w:t>)</w:t>
      </w:r>
    </w:p>
    <w:p w:rsidR="008D6858" w:rsidRDefault="00CB092C" w:rsidP="008D6858">
      <w:pPr>
        <w:pStyle w:val="BodyText"/>
        <w:spacing w:line="480" w:lineRule="auto"/>
      </w:pPr>
      <w:r>
        <w:tab/>
      </w:r>
      <w:r w:rsidR="00754A63">
        <w:t xml:space="preserve">Excavations were initiated in G4.59, located to the east of G4.58, to better understand the stratigraphy of the area south of Temple XVI, particularly in light of the uncertainty surrounding the monumental sculptures excavated in G4.58. The two easternmost meters of the square were excavated, rather than excavating a full 9 x 9 m square, along with the balk between G4.58 and </w:t>
      </w:r>
      <w:r w:rsidR="00754A63">
        <w:lastRenderedPageBreak/>
        <w:t>G4.59, resulting in a 9 m (north-south) x 3 m (east-west) trench.</w:t>
      </w:r>
      <w:r w:rsidR="001320E0">
        <w:t xml:space="preserve"> The excavations revealed a long narrow stone pavement, approximately 10-12 cm in diameter, which extended from the north to the south balk. At its southern end, the pavement appeared to intersect with a </w:t>
      </w:r>
      <w:r w:rsidR="00877DE3">
        <w:t xml:space="preserve">second </w:t>
      </w:r>
      <w:r w:rsidR="001320E0">
        <w:t xml:space="preserve">pavement to the west </w:t>
      </w:r>
      <w:r w:rsidR="00877DE3">
        <w:t>made of larger, rounder stone</w:t>
      </w:r>
      <w:r w:rsidR="001320E0">
        <w:t xml:space="preserve">, although it is possible this pavement is stratigraphically later in date, and thus effectively sealed the </w:t>
      </w:r>
      <w:r w:rsidR="00877DE3">
        <w:t>north-south oriented</w:t>
      </w:r>
      <w:r w:rsidR="001320E0">
        <w:t xml:space="preserve"> pavement. The function of the</w:t>
      </w:r>
      <w:r w:rsidR="00877DE3">
        <w:t>se</w:t>
      </w:r>
      <w:r w:rsidR="001320E0">
        <w:t xml:space="preserve"> pavement</w:t>
      </w:r>
      <w:r w:rsidR="00877DE3">
        <w:t>s</w:t>
      </w:r>
      <w:r w:rsidR="001320E0">
        <w:t xml:space="preserve"> was not clear</w:t>
      </w:r>
      <w:r w:rsidR="00877DE3">
        <w:t>. Excavations to the east of the north-south pavement revealed</w:t>
      </w:r>
      <w:r w:rsidR="001320E0">
        <w:t xml:space="preserve"> a hard-packed earthen surface</w:t>
      </w:r>
      <w:r w:rsidR="00877DE3">
        <w:t xml:space="preserve"> that contained concentrations of </w:t>
      </w:r>
      <w:proofErr w:type="spellStart"/>
      <w:r w:rsidR="00877DE3">
        <w:t>nari</w:t>
      </w:r>
      <w:proofErr w:type="spellEnd"/>
      <w:r w:rsidR="00877DE3">
        <w:t xml:space="preserve"> material and flat-lying pottery; this surface</w:t>
      </w:r>
      <w:r w:rsidR="001320E0">
        <w:t xml:space="preserve"> extended to the east out of the excavated area.</w:t>
      </w:r>
    </w:p>
    <w:p w:rsidR="002918B9" w:rsidRPr="00CB092C" w:rsidRDefault="002918B9" w:rsidP="002918B9">
      <w:pPr>
        <w:pStyle w:val="BodyText"/>
        <w:spacing w:line="480" w:lineRule="auto"/>
        <w:rPr>
          <w:b/>
        </w:rPr>
      </w:pPr>
      <w:r>
        <w:rPr>
          <w:b/>
        </w:rPr>
        <w:t>Square G4.68</w:t>
      </w:r>
      <w:r w:rsidRPr="00CB092C">
        <w:rPr>
          <w:b/>
        </w:rPr>
        <w:t xml:space="preserve"> (</w:t>
      </w:r>
      <w:r>
        <w:rPr>
          <w:b/>
        </w:rPr>
        <w:t xml:space="preserve">Ö. </w:t>
      </w:r>
      <w:proofErr w:type="spellStart"/>
      <w:r>
        <w:rPr>
          <w:b/>
        </w:rPr>
        <w:t>Demirci</w:t>
      </w:r>
      <w:proofErr w:type="spellEnd"/>
      <w:r w:rsidRPr="00CB092C">
        <w:rPr>
          <w:b/>
        </w:rPr>
        <w:t>)</w:t>
      </w:r>
    </w:p>
    <w:p w:rsidR="002918B9" w:rsidRDefault="002918B9" w:rsidP="008D6858">
      <w:pPr>
        <w:pStyle w:val="BodyText"/>
        <w:spacing w:line="480" w:lineRule="auto"/>
      </w:pPr>
      <w:r>
        <w:tab/>
      </w:r>
      <w:r w:rsidR="00877DE3">
        <w:t>The excavations in Square G4.68 continued the effort of previous seasons, but focused primarily on balk removal. In addition, excavations in the probe along the north balk opened in 2012 were extended to the west with the aim of tracing the stone pavement uncovered in this area. The pavement was found to connect with the contemporary pavement</w:t>
      </w:r>
      <w:r w:rsidR="00CC7C43">
        <w:t xml:space="preserve"> segment</w:t>
      </w:r>
      <w:r w:rsidR="00877DE3">
        <w:t xml:space="preserve"> uncovered in</w:t>
      </w:r>
      <w:r w:rsidR="00CC7C43">
        <w:t xml:space="preserve"> Squares</w:t>
      </w:r>
      <w:r w:rsidR="00877DE3">
        <w:t xml:space="preserve"> G4.58 and G4.59 to the north. However, </w:t>
      </w:r>
      <w:r w:rsidR="00CC7C43">
        <w:t>the pavement</w:t>
      </w:r>
      <w:r w:rsidR="00877DE3">
        <w:t xml:space="preserve"> did not extend to the west, and indeed the western edge of the pavement appeared to form a north-south line; the functional significance of this apparent border </w:t>
      </w:r>
      <w:r w:rsidR="00CC7C43">
        <w:t>or edge</w:t>
      </w:r>
      <w:r w:rsidR="00877DE3">
        <w:t xml:space="preserve"> remained unclear </w:t>
      </w:r>
      <w:r w:rsidR="00CC7C43">
        <w:t>through the end of the season. Unfortunately, the western extent of the probe revealed significant later disturbance, possibly dating to the classical or medieval periods, apparently the result of efforts to mine the stone from the Iron Age structures that once stood in this area.</w:t>
      </w:r>
    </w:p>
    <w:p w:rsidR="002F7E88" w:rsidRPr="006E47CF" w:rsidRDefault="004D1E74" w:rsidP="006E47CF">
      <w:pPr>
        <w:pStyle w:val="BodyText"/>
        <w:spacing w:line="480" w:lineRule="auto"/>
        <w:jc w:val="center"/>
        <w:rPr>
          <w:b/>
          <w:smallCaps/>
        </w:rPr>
      </w:pPr>
      <w:r>
        <w:rPr>
          <w:b/>
          <w:smallCaps/>
        </w:rPr>
        <w:t>Lower Town Surface Survey</w:t>
      </w:r>
      <w:r w:rsidR="00803AE3">
        <w:rPr>
          <w:b/>
          <w:smallCaps/>
        </w:rPr>
        <w:t xml:space="preserve"> (</w:t>
      </w:r>
      <w:r>
        <w:rPr>
          <w:b/>
          <w:smallCaps/>
        </w:rPr>
        <w:t>J. Osborne</w:t>
      </w:r>
      <w:r w:rsidR="00803AE3">
        <w:rPr>
          <w:b/>
          <w:smallCaps/>
        </w:rPr>
        <w:t>)</w:t>
      </w:r>
    </w:p>
    <w:p w:rsidR="00C911BA" w:rsidRDefault="00234815" w:rsidP="00910924">
      <w:pPr>
        <w:pStyle w:val="BodyText"/>
        <w:spacing w:line="480" w:lineRule="auto"/>
      </w:pPr>
      <w:r>
        <w:tab/>
      </w:r>
      <w:r w:rsidR="0060616C">
        <w:rPr>
          <w:szCs w:val="24"/>
        </w:rPr>
        <w:t xml:space="preserve">The intensive systematic survey of the lower settlement at </w:t>
      </w:r>
      <w:proofErr w:type="spellStart"/>
      <w:r w:rsidR="0060616C">
        <w:rPr>
          <w:szCs w:val="24"/>
        </w:rPr>
        <w:t>Tayinat</w:t>
      </w:r>
      <w:proofErr w:type="spellEnd"/>
      <w:r w:rsidR="0060616C">
        <w:rPr>
          <w:szCs w:val="24"/>
        </w:rPr>
        <w:t xml:space="preserve"> initiated in 2014 was continued and completed in 2015. The aim of this survey was to document the extent of the lower settlement at </w:t>
      </w:r>
      <w:proofErr w:type="spellStart"/>
      <w:r w:rsidR="0060616C">
        <w:rPr>
          <w:szCs w:val="24"/>
        </w:rPr>
        <w:t>Tayinat</w:t>
      </w:r>
      <w:proofErr w:type="spellEnd"/>
      <w:r w:rsidR="0060616C">
        <w:rPr>
          <w:szCs w:val="24"/>
        </w:rPr>
        <w:t>, and to determine the settlement history and primary functional activities conduct</w:t>
      </w:r>
      <w:r w:rsidR="00867D69">
        <w:rPr>
          <w:szCs w:val="24"/>
        </w:rPr>
        <w:t>ed in this area</w:t>
      </w:r>
      <w:r w:rsidR="0060616C">
        <w:rPr>
          <w:szCs w:val="24"/>
        </w:rPr>
        <w:t xml:space="preserve"> of the site, presumed to have been the </w:t>
      </w:r>
      <w:r w:rsidR="00867D69">
        <w:rPr>
          <w:szCs w:val="24"/>
        </w:rPr>
        <w:t xml:space="preserve">main residential and </w:t>
      </w:r>
      <w:r w:rsidR="00867D69">
        <w:rPr>
          <w:szCs w:val="24"/>
        </w:rPr>
        <w:lastRenderedPageBreak/>
        <w:t xml:space="preserve">industrial sectors of </w:t>
      </w:r>
      <w:proofErr w:type="spellStart"/>
      <w:r w:rsidR="00867D69">
        <w:rPr>
          <w:szCs w:val="24"/>
        </w:rPr>
        <w:t>Tayinat</w:t>
      </w:r>
      <w:proofErr w:type="spellEnd"/>
      <w:r w:rsidR="0060616C">
        <w:rPr>
          <w:szCs w:val="24"/>
        </w:rPr>
        <w:t xml:space="preserve"> during the </w:t>
      </w:r>
      <w:r w:rsidR="00867D69">
        <w:rPr>
          <w:szCs w:val="24"/>
        </w:rPr>
        <w:t>Iron Age (</w:t>
      </w:r>
      <w:r w:rsidR="0060616C">
        <w:rPr>
          <w:szCs w:val="24"/>
        </w:rPr>
        <w:t>early first millennium BCE</w:t>
      </w:r>
      <w:r w:rsidR="00867D69">
        <w:rPr>
          <w:szCs w:val="24"/>
        </w:rPr>
        <w:t>)</w:t>
      </w:r>
      <w:r w:rsidR="0060616C">
        <w:rPr>
          <w:szCs w:val="24"/>
        </w:rPr>
        <w:t xml:space="preserve">. </w:t>
      </w:r>
      <w:r w:rsidR="00867D69">
        <w:rPr>
          <w:szCs w:val="24"/>
        </w:rPr>
        <w:t>To document this activity, a systematic survey of the surface remains was necessary</w:t>
      </w:r>
      <w:r w:rsidR="0060616C">
        <w:rPr>
          <w:szCs w:val="24"/>
        </w:rPr>
        <w:t xml:space="preserve">. There are several specific </w:t>
      </w:r>
      <w:r w:rsidR="00867D69">
        <w:rPr>
          <w:szCs w:val="24"/>
        </w:rPr>
        <w:t>categories</w:t>
      </w:r>
      <w:r w:rsidR="0060616C">
        <w:rPr>
          <w:szCs w:val="24"/>
        </w:rPr>
        <w:t xml:space="preserve"> of information that can be gained from </w:t>
      </w:r>
      <w:r w:rsidR="00582F92">
        <w:rPr>
          <w:szCs w:val="24"/>
        </w:rPr>
        <w:t xml:space="preserve">the systematic </w:t>
      </w:r>
      <w:r w:rsidR="0060616C">
        <w:rPr>
          <w:szCs w:val="24"/>
        </w:rPr>
        <w:t xml:space="preserve">examination of surface artifacts. These include (1) the precise </w:t>
      </w:r>
      <w:r w:rsidR="0060616C" w:rsidRPr="00DF27DC">
        <w:rPr>
          <w:b/>
          <w:szCs w:val="24"/>
        </w:rPr>
        <w:t>areal extent</w:t>
      </w:r>
      <w:r w:rsidR="0060616C">
        <w:rPr>
          <w:szCs w:val="24"/>
        </w:rPr>
        <w:t xml:space="preserve"> of the lower settlement, determined by the presence of surface artifacts; (2) the </w:t>
      </w:r>
      <w:r w:rsidR="0060616C" w:rsidRPr="00DF27DC">
        <w:rPr>
          <w:b/>
          <w:szCs w:val="24"/>
        </w:rPr>
        <w:t>density of settlement</w:t>
      </w:r>
      <w:r w:rsidR="0060616C">
        <w:rPr>
          <w:szCs w:val="24"/>
        </w:rPr>
        <w:t xml:space="preserve"> in the area, determined by the frequency of surface artifacts as measured in pottery counts and weights; and (3) differences in the </w:t>
      </w:r>
      <w:r w:rsidR="0060616C">
        <w:rPr>
          <w:b/>
          <w:szCs w:val="24"/>
        </w:rPr>
        <w:t>use</w:t>
      </w:r>
      <w:r w:rsidR="0060616C" w:rsidRPr="00DF27DC">
        <w:rPr>
          <w:b/>
          <w:szCs w:val="24"/>
        </w:rPr>
        <w:t xml:space="preserve"> of space</w:t>
      </w:r>
      <w:r w:rsidR="0060616C">
        <w:rPr>
          <w:szCs w:val="24"/>
        </w:rPr>
        <w:t xml:space="preserve"> across the lower town, or neighborhoods, determined by the types of ceramics and other objects found in different areas of the city.</w:t>
      </w:r>
    </w:p>
    <w:p w:rsidR="00BD6495" w:rsidRPr="00E57920" w:rsidRDefault="004D1E74" w:rsidP="00E57920">
      <w:pPr>
        <w:spacing w:line="480" w:lineRule="auto"/>
        <w:jc w:val="both"/>
        <w:rPr>
          <w:sz w:val="24"/>
          <w:szCs w:val="24"/>
        </w:rPr>
      </w:pPr>
      <w:r>
        <w:rPr>
          <w:sz w:val="24"/>
          <w:szCs w:val="24"/>
        </w:rPr>
        <w:tab/>
      </w:r>
      <w:r w:rsidR="0060616C">
        <w:rPr>
          <w:sz w:val="24"/>
          <w:szCs w:val="24"/>
        </w:rPr>
        <w:t xml:space="preserve">To </w:t>
      </w:r>
      <w:r w:rsidR="00582F92">
        <w:rPr>
          <w:sz w:val="24"/>
          <w:szCs w:val="24"/>
        </w:rPr>
        <w:t xml:space="preserve">better </w:t>
      </w:r>
      <w:r w:rsidR="0060616C">
        <w:rPr>
          <w:sz w:val="24"/>
          <w:szCs w:val="24"/>
        </w:rPr>
        <w:t>understand the distribution of artifacts on the lower town’s surface, this sector of the site was divided into 10 x 10 m units distributed 20 m apart from one another, or 25 units per hectare. At roughly 16 ha in size</w:t>
      </w:r>
      <w:r w:rsidR="00724BE3">
        <w:rPr>
          <w:sz w:val="24"/>
          <w:szCs w:val="24"/>
        </w:rPr>
        <w:t>,</w:t>
      </w:r>
      <w:r w:rsidR="0060616C">
        <w:rPr>
          <w:sz w:val="24"/>
          <w:szCs w:val="24"/>
        </w:rPr>
        <w:t xml:space="preserve"> as estimated from </w:t>
      </w:r>
      <w:r w:rsidR="00724BE3">
        <w:rPr>
          <w:sz w:val="24"/>
          <w:szCs w:val="24"/>
        </w:rPr>
        <w:t xml:space="preserve">satellite imagery, this means the </w:t>
      </w:r>
      <w:proofErr w:type="spellStart"/>
      <w:r w:rsidR="00724BE3">
        <w:rPr>
          <w:sz w:val="24"/>
          <w:szCs w:val="24"/>
        </w:rPr>
        <w:t>Tayinat</w:t>
      </w:r>
      <w:proofErr w:type="spellEnd"/>
      <w:r w:rsidR="00724BE3">
        <w:rPr>
          <w:sz w:val="24"/>
          <w:szCs w:val="24"/>
        </w:rPr>
        <w:t xml:space="preserve"> lower settlement was divided into </w:t>
      </w:r>
      <w:r w:rsidR="0060616C">
        <w:rPr>
          <w:sz w:val="24"/>
          <w:szCs w:val="24"/>
        </w:rPr>
        <w:t xml:space="preserve">approximately 400 units. 238 </w:t>
      </w:r>
      <w:r w:rsidR="00724BE3">
        <w:rPr>
          <w:sz w:val="24"/>
          <w:szCs w:val="24"/>
        </w:rPr>
        <w:t xml:space="preserve">of these </w:t>
      </w:r>
      <w:r w:rsidR="0060616C">
        <w:rPr>
          <w:sz w:val="24"/>
          <w:szCs w:val="24"/>
        </w:rPr>
        <w:t>units</w:t>
      </w:r>
      <w:r w:rsidR="00724BE3">
        <w:rPr>
          <w:sz w:val="24"/>
          <w:szCs w:val="24"/>
        </w:rPr>
        <w:t xml:space="preserve"> were visited and sampled during the 2015 season, all located east of the citadel mound</w:t>
      </w:r>
      <w:r w:rsidR="0060616C">
        <w:rPr>
          <w:sz w:val="24"/>
          <w:szCs w:val="24"/>
        </w:rPr>
        <w:t>. The</w:t>
      </w:r>
      <w:r w:rsidR="00724BE3">
        <w:rPr>
          <w:sz w:val="24"/>
          <w:szCs w:val="24"/>
        </w:rPr>
        <w:t xml:space="preserve"> surface survey was conducted over fourteen days of field</w:t>
      </w:r>
      <w:r w:rsidR="0060616C">
        <w:rPr>
          <w:sz w:val="24"/>
          <w:szCs w:val="24"/>
        </w:rPr>
        <w:t xml:space="preserve">work. 17,973 </w:t>
      </w:r>
      <w:r w:rsidR="00724BE3">
        <w:rPr>
          <w:sz w:val="24"/>
          <w:szCs w:val="24"/>
        </w:rPr>
        <w:t xml:space="preserve">pottery sherds were recorded </w:t>
      </w:r>
      <w:r w:rsidR="0060616C">
        <w:rPr>
          <w:sz w:val="24"/>
          <w:szCs w:val="24"/>
        </w:rPr>
        <w:t>in these units</w:t>
      </w:r>
      <w:r w:rsidR="00724BE3">
        <w:rPr>
          <w:sz w:val="24"/>
          <w:szCs w:val="24"/>
        </w:rPr>
        <w:t>. This material</w:t>
      </w:r>
      <w:r w:rsidR="0060616C">
        <w:rPr>
          <w:sz w:val="24"/>
          <w:szCs w:val="24"/>
        </w:rPr>
        <w:t xml:space="preserve"> will be used to determine the size and density of </w:t>
      </w:r>
      <w:proofErr w:type="spellStart"/>
      <w:r w:rsidR="00724BE3">
        <w:rPr>
          <w:sz w:val="24"/>
          <w:szCs w:val="24"/>
        </w:rPr>
        <w:t>Tayinat’s</w:t>
      </w:r>
      <w:proofErr w:type="spellEnd"/>
      <w:r w:rsidR="0060616C">
        <w:rPr>
          <w:sz w:val="24"/>
          <w:szCs w:val="24"/>
        </w:rPr>
        <w:t xml:space="preserve"> </w:t>
      </w:r>
      <w:r w:rsidR="00724BE3">
        <w:rPr>
          <w:sz w:val="24"/>
          <w:szCs w:val="24"/>
        </w:rPr>
        <w:t>residential</w:t>
      </w:r>
      <w:r w:rsidR="0060616C">
        <w:rPr>
          <w:sz w:val="24"/>
          <w:szCs w:val="24"/>
        </w:rPr>
        <w:t xml:space="preserve"> neighborhoods. </w:t>
      </w:r>
      <w:r w:rsidR="00724BE3">
        <w:rPr>
          <w:sz w:val="24"/>
          <w:szCs w:val="24"/>
        </w:rPr>
        <w:t>O</w:t>
      </w:r>
      <w:r w:rsidR="0060616C">
        <w:rPr>
          <w:sz w:val="24"/>
          <w:szCs w:val="24"/>
        </w:rPr>
        <w:t xml:space="preserve">f the total number of sherds identified, 5148 were diagnostic pieces that can be </w:t>
      </w:r>
      <w:r w:rsidR="00724BE3">
        <w:rPr>
          <w:sz w:val="24"/>
          <w:szCs w:val="24"/>
        </w:rPr>
        <w:t>dated more precisely based on the</w:t>
      </w:r>
      <w:r w:rsidR="0060616C">
        <w:rPr>
          <w:sz w:val="24"/>
          <w:szCs w:val="24"/>
        </w:rPr>
        <w:t xml:space="preserve"> Iron Age typology </w:t>
      </w:r>
      <w:r w:rsidR="00724BE3">
        <w:rPr>
          <w:sz w:val="24"/>
          <w:szCs w:val="24"/>
        </w:rPr>
        <w:t xml:space="preserve">for </w:t>
      </w:r>
      <w:proofErr w:type="spellStart"/>
      <w:r w:rsidR="00724BE3">
        <w:rPr>
          <w:sz w:val="24"/>
          <w:szCs w:val="24"/>
        </w:rPr>
        <w:t>Tayinat</w:t>
      </w:r>
      <w:proofErr w:type="spellEnd"/>
      <w:r w:rsidR="00724BE3">
        <w:rPr>
          <w:sz w:val="24"/>
          <w:szCs w:val="24"/>
        </w:rPr>
        <w:t xml:space="preserve">; this information will also be used </w:t>
      </w:r>
      <w:r w:rsidR="0060616C">
        <w:rPr>
          <w:sz w:val="24"/>
          <w:szCs w:val="24"/>
        </w:rPr>
        <w:t xml:space="preserve">to identify </w:t>
      </w:r>
      <w:r w:rsidR="00724BE3">
        <w:rPr>
          <w:sz w:val="24"/>
          <w:szCs w:val="24"/>
        </w:rPr>
        <w:t xml:space="preserve">the </w:t>
      </w:r>
      <w:r w:rsidR="0060616C">
        <w:rPr>
          <w:sz w:val="24"/>
          <w:szCs w:val="24"/>
        </w:rPr>
        <w:t xml:space="preserve">different </w:t>
      </w:r>
      <w:r w:rsidR="00724BE3">
        <w:rPr>
          <w:sz w:val="24"/>
          <w:szCs w:val="24"/>
        </w:rPr>
        <w:t>functional activities that occurred</w:t>
      </w:r>
      <w:r w:rsidR="0060616C">
        <w:rPr>
          <w:sz w:val="24"/>
          <w:szCs w:val="24"/>
        </w:rPr>
        <w:t xml:space="preserve"> in the lower town. 212</w:t>
      </w:r>
      <w:r w:rsidR="0060616C" w:rsidRPr="00A7574C">
        <w:rPr>
          <w:sz w:val="24"/>
          <w:szCs w:val="24"/>
        </w:rPr>
        <w:t xml:space="preserve"> objects were</w:t>
      </w:r>
      <w:r w:rsidR="00724BE3">
        <w:rPr>
          <w:sz w:val="24"/>
          <w:szCs w:val="24"/>
        </w:rPr>
        <w:t xml:space="preserve"> also</w:t>
      </w:r>
      <w:r w:rsidR="0060616C" w:rsidRPr="00A7574C">
        <w:rPr>
          <w:sz w:val="24"/>
          <w:szCs w:val="24"/>
        </w:rPr>
        <w:t xml:space="preserve"> identified</w:t>
      </w:r>
      <w:r w:rsidR="00724BE3">
        <w:rPr>
          <w:sz w:val="24"/>
          <w:szCs w:val="24"/>
        </w:rPr>
        <w:t xml:space="preserve"> during the survey</w:t>
      </w:r>
      <w:r w:rsidR="0060616C" w:rsidRPr="00A7574C">
        <w:rPr>
          <w:sz w:val="24"/>
          <w:szCs w:val="24"/>
        </w:rPr>
        <w:t xml:space="preserve">, including </w:t>
      </w:r>
      <w:r w:rsidR="00724BE3">
        <w:rPr>
          <w:sz w:val="24"/>
          <w:szCs w:val="24"/>
        </w:rPr>
        <w:t>numerous fragments o</w:t>
      </w:r>
      <w:r w:rsidR="0060616C" w:rsidRPr="00A7574C">
        <w:rPr>
          <w:sz w:val="24"/>
          <w:szCs w:val="24"/>
        </w:rPr>
        <w:t xml:space="preserve">f basalt grinding stones and quern stones, </w:t>
      </w:r>
      <w:r w:rsidR="00724BE3">
        <w:rPr>
          <w:sz w:val="24"/>
          <w:szCs w:val="24"/>
        </w:rPr>
        <w:t xml:space="preserve">and </w:t>
      </w:r>
      <w:r w:rsidR="0060616C" w:rsidRPr="00A7574C">
        <w:rPr>
          <w:sz w:val="24"/>
          <w:szCs w:val="24"/>
        </w:rPr>
        <w:t xml:space="preserve">ceramic loom weights, confirming the domestic character of the lower settlement. </w:t>
      </w:r>
      <w:r w:rsidR="0060616C">
        <w:rPr>
          <w:sz w:val="24"/>
          <w:szCs w:val="24"/>
        </w:rPr>
        <w:t xml:space="preserve">Two fragments of monumental statuary were also found, one of which displays the </w:t>
      </w:r>
      <w:r w:rsidR="00724BE3">
        <w:rPr>
          <w:sz w:val="24"/>
          <w:szCs w:val="24"/>
        </w:rPr>
        <w:t>hair curls</w:t>
      </w:r>
      <w:r w:rsidR="0060616C">
        <w:rPr>
          <w:sz w:val="24"/>
          <w:szCs w:val="24"/>
        </w:rPr>
        <w:t xml:space="preserve"> of </w:t>
      </w:r>
      <w:r w:rsidR="00724BE3">
        <w:rPr>
          <w:sz w:val="24"/>
          <w:szCs w:val="24"/>
        </w:rPr>
        <w:t>characteristic</w:t>
      </w:r>
      <w:r w:rsidR="00724BE3">
        <w:rPr>
          <w:sz w:val="24"/>
          <w:szCs w:val="24"/>
        </w:rPr>
        <w:t xml:space="preserve"> of </w:t>
      </w:r>
      <w:r w:rsidR="0060616C">
        <w:rPr>
          <w:sz w:val="24"/>
          <w:szCs w:val="24"/>
        </w:rPr>
        <w:t xml:space="preserve">Neo-Hittite </w:t>
      </w:r>
      <w:r w:rsidR="00724BE3">
        <w:rPr>
          <w:sz w:val="24"/>
          <w:szCs w:val="24"/>
        </w:rPr>
        <w:t>statuary</w:t>
      </w:r>
      <w:r w:rsidR="0060616C">
        <w:rPr>
          <w:sz w:val="24"/>
          <w:szCs w:val="24"/>
        </w:rPr>
        <w:t>,</w:t>
      </w:r>
      <w:r w:rsidR="00724BE3">
        <w:rPr>
          <w:sz w:val="24"/>
          <w:szCs w:val="24"/>
        </w:rPr>
        <w:t xml:space="preserve"> such as depicted on the </w:t>
      </w:r>
      <w:proofErr w:type="spellStart"/>
      <w:r w:rsidR="00724BE3">
        <w:rPr>
          <w:sz w:val="24"/>
          <w:szCs w:val="24"/>
        </w:rPr>
        <w:t>Suppiluliuma</w:t>
      </w:r>
      <w:proofErr w:type="spellEnd"/>
      <w:r w:rsidR="00724BE3">
        <w:rPr>
          <w:sz w:val="24"/>
          <w:szCs w:val="24"/>
        </w:rPr>
        <w:t xml:space="preserve"> statue found in Field 7 on the citadel mound,</w:t>
      </w:r>
      <w:r w:rsidR="0060616C">
        <w:rPr>
          <w:sz w:val="24"/>
          <w:szCs w:val="24"/>
        </w:rPr>
        <w:t xml:space="preserve"> suggesting the presence of statues in </w:t>
      </w:r>
      <w:proofErr w:type="spellStart"/>
      <w:r w:rsidR="00E4294B">
        <w:rPr>
          <w:sz w:val="24"/>
          <w:szCs w:val="24"/>
        </w:rPr>
        <w:t>Tayinat’s</w:t>
      </w:r>
      <w:proofErr w:type="spellEnd"/>
      <w:r w:rsidR="00E4294B">
        <w:rPr>
          <w:sz w:val="24"/>
          <w:szCs w:val="24"/>
        </w:rPr>
        <w:t xml:space="preserve"> lower settlement as well</w:t>
      </w:r>
      <w:r w:rsidR="0060616C" w:rsidRPr="00A7574C">
        <w:rPr>
          <w:sz w:val="24"/>
          <w:szCs w:val="24"/>
        </w:rPr>
        <w:t>.</w:t>
      </w:r>
    </w:p>
    <w:p w:rsidR="007177FF" w:rsidRPr="006E47CF" w:rsidRDefault="008F458C" w:rsidP="007177FF">
      <w:pPr>
        <w:pStyle w:val="BodyText"/>
        <w:spacing w:line="480" w:lineRule="auto"/>
        <w:jc w:val="center"/>
        <w:rPr>
          <w:b/>
          <w:smallCaps/>
        </w:rPr>
      </w:pPr>
      <w:r>
        <w:rPr>
          <w:b/>
          <w:smallCaps/>
        </w:rPr>
        <w:lastRenderedPageBreak/>
        <w:t>Mudbrick Architectural Conservation Program</w:t>
      </w:r>
      <w:r w:rsidR="007177FF">
        <w:rPr>
          <w:b/>
          <w:smallCaps/>
        </w:rPr>
        <w:t xml:space="preserve"> (</w:t>
      </w:r>
      <w:r>
        <w:rPr>
          <w:b/>
          <w:smallCaps/>
        </w:rPr>
        <w:t xml:space="preserve">S. </w:t>
      </w:r>
      <w:proofErr w:type="spellStart"/>
      <w:r>
        <w:rPr>
          <w:b/>
          <w:smallCaps/>
        </w:rPr>
        <w:t>Batiuk</w:t>
      </w:r>
      <w:proofErr w:type="spellEnd"/>
      <w:r w:rsidR="007177FF">
        <w:rPr>
          <w:b/>
          <w:smallCaps/>
        </w:rPr>
        <w:t>)</w:t>
      </w:r>
    </w:p>
    <w:p w:rsidR="00E4294B" w:rsidRPr="000A3641" w:rsidRDefault="00E4294B" w:rsidP="006E47CF">
      <w:pPr>
        <w:spacing w:line="480" w:lineRule="auto"/>
        <w:jc w:val="both"/>
        <w:rPr>
          <w:sz w:val="24"/>
          <w:szCs w:val="24"/>
        </w:rPr>
      </w:pPr>
      <w:r w:rsidRPr="000A3641">
        <w:rPr>
          <w:sz w:val="24"/>
          <w:szCs w:val="24"/>
        </w:rPr>
        <w:tab/>
      </w:r>
      <w:r w:rsidR="000A3641" w:rsidRPr="000A3641">
        <w:rPr>
          <w:sz w:val="24"/>
          <w:szCs w:val="24"/>
        </w:rPr>
        <w:t>As noted in previous</w:t>
      </w:r>
      <w:r w:rsidR="000A3641">
        <w:rPr>
          <w:sz w:val="24"/>
          <w:szCs w:val="24"/>
        </w:rPr>
        <w:t xml:space="preserve"> </w:t>
      </w:r>
      <w:proofErr w:type="spellStart"/>
      <w:r w:rsidR="000A3641">
        <w:rPr>
          <w:sz w:val="24"/>
          <w:szCs w:val="24"/>
        </w:rPr>
        <w:t>Tayinat</w:t>
      </w:r>
      <w:proofErr w:type="spellEnd"/>
      <w:r w:rsidR="000A3641">
        <w:rPr>
          <w:sz w:val="24"/>
          <w:szCs w:val="24"/>
        </w:rPr>
        <w:t xml:space="preserve"> seasonal</w:t>
      </w:r>
      <w:r w:rsidR="000A3641" w:rsidRPr="000A3641">
        <w:rPr>
          <w:sz w:val="24"/>
          <w:szCs w:val="24"/>
        </w:rPr>
        <w:t xml:space="preserve"> reports, an assessment of the monumental mudbrick architecture in the Temple Precinct on the </w:t>
      </w:r>
      <w:proofErr w:type="spellStart"/>
      <w:r w:rsidR="000A3641" w:rsidRPr="000A3641">
        <w:rPr>
          <w:sz w:val="24"/>
          <w:szCs w:val="24"/>
        </w:rPr>
        <w:t>Tayinat</w:t>
      </w:r>
      <w:proofErr w:type="spellEnd"/>
      <w:r w:rsidR="000A3641" w:rsidRPr="000A3641">
        <w:rPr>
          <w:sz w:val="24"/>
          <w:szCs w:val="24"/>
        </w:rPr>
        <w:t xml:space="preserve"> citadel conducted in 2012 provided a treatment strategy that has served as a guide for the conservation program we have implemented over the past two years. Following preliminary cleaning and preparations in 2012 and 2013, conservation treatment and consolidation of the </w:t>
      </w:r>
      <w:proofErr w:type="spellStart"/>
      <w:r w:rsidR="000A3641" w:rsidRPr="000A3641">
        <w:rPr>
          <w:sz w:val="24"/>
          <w:szCs w:val="24"/>
        </w:rPr>
        <w:t>Tayinat</w:t>
      </w:r>
      <w:proofErr w:type="spellEnd"/>
      <w:r w:rsidR="000A3641" w:rsidRPr="000A3641">
        <w:rPr>
          <w:sz w:val="24"/>
          <w:szCs w:val="24"/>
        </w:rPr>
        <w:t xml:space="preserve"> Temples (Buildings II and XVI) commenced in 2014 and continued through 2015. A method called “soft capping” has been employed, based on the results of analyses conducted as part of the 2012 assessment. This method does not involve reconstruction of a building’s architecture, but rather the creation of a reversible mudbrick “shell” around the excavated remains, which are then in-filled with earth. The soft capping approach preserves the shape of the original structure for visitors to see, while also protecting the existing architectural remains by essentially backfilling them, with a layer of geotextile separating—and thus preserving—the archaeological remains from the encompassing earth and mudbrick shell. The 2014 season saw completion of</w:t>
      </w:r>
      <w:r w:rsidR="000A3641">
        <w:rPr>
          <w:sz w:val="24"/>
          <w:szCs w:val="24"/>
        </w:rPr>
        <w:t xml:space="preserve"> this procedure for Temple XVI</w:t>
      </w:r>
      <w:r w:rsidR="000A3641" w:rsidRPr="000A3641">
        <w:rPr>
          <w:sz w:val="24"/>
          <w:szCs w:val="24"/>
        </w:rPr>
        <w:t>, and in 2015 our efforts shifted to the larger and more complex Building (Temple) II.</w:t>
      </w:r>
    </w:p>
    <w:p w:rsidR="000A3641" w:rsidRDefault="000A3641" w:rsidP="006E47CF">
      <w:pPr>
        <w:spacing w:line="480" w:lineRule="auto"/>
        <w:jc w:val="both"/>
        <w:rPr>
          <w:sz w:val="24"/>
          <w:szCs w:val="24"/>
        </w:rPr>
      </w:pPr>
      <w:r>
        <w:rPr>
          <w:sz w:val="24"/>
          <w:szCs w:val="24"/>
        </w:rPr>
        <w:tab/>
      </w:r>
      <w:r>
        <w:rPr>
          <w:sz w:val="24"/>
          <w:szCs w:val="24"/>
        </w:rPr>
        <w:t xml:space="preserve">Originally excavated by the University of Chicago’s Oriental Institute in the 1930s, the </w:t>
      </w:r>
      <w:proofErr w:type="spellStart"/>
      <w:r>
        <w:rPr>
          <w:sz w:val="24"/>
          <w:szCs w:val="24"/>
        </w:rPr>
        <w:t>Tayinat</w:t>
      </w:r>
      <w:proofErr w:type="spellEnd"/>
      <w:r>
        <w:rPr>
          <w:sz w:val="24"/>
          <w:szCs w:val="24"/>
        </w:rPr>
        <w:t xml:space="preserve"> Archaeological Project (TAP) re-excavated the northern wall of Building II during its 2004 and 2005 field seasons as part of its Field 1 investigations. The 2015 effort provided some unique </w:t>
      </w:r>
      <w:proofErr w:type="gramStart"/>
      <w:r>
        <w:rPr>
          <w:sz w:val="24"/>
          <w:szCs w:val="24"/>
        </w:rPr>
        <w:t>challenges,</w:t>
      </w:r>
      <w:proofErr w:type="gramEnd"/>
      <w:r>
        <w:rPr>
          <w:sz w:val="24"/>
          <w:szCs w:val="24"/>
        </w:rPr>
        <w:t xml:space="preserve"> most notably the extensive exposure of the north section of the field, which now drops vertically more than five meters below the surface of mound, and undergirds the south face of Building II’s north wall. Although covered by geotextile during the offseason, this north section has been adversely affected by the annual winter rains, and as a result its preservation became a priority for the 2015 season</w:t>
      </w:r>
      <w:r>
        <w:rPr>
          <w:sz w:val="24"/>
          <w:szCs w:val="24"/>
        </w:rPr>
        <w:t xml:space="preserve"> </w:t>
      </w:r>
      <w:r>
        <w:rPr>
          <w:sz w:val="24"/>
          <w:szCs w:val="24"/>
        </w:rPr>
        <w:t>(see discussion above in the section on Field 1).</w:t>
      </w:r>
    </w:p>
    <w:p w:rsidR="000A3641" w:rsidRDefault="000A3641" w:rsidP="006E47CF">
      <w:pPr>
        <w:spacing w:line="480" w:lineRule="auto"/>
        <w:jc w:val="both"/>
        <w:rPr>
          <w:sz w:val="24"/>
          <w:szCs w:val="24"/>
        </w:rPr>
      </w:pPr>
      <w:r>
        <w:rPr>
          <w:sz w:val="24"/>
          <w:szCs w:val="24"/>
        </w:rPr>
        <w:lastRenderedPageBreak/>
        <w:tab/>
      </w:r>
      <w:r>
        <w:rPr>
          <w:sz w:val="24"/>
          <w:szCs w:val="24"/>
        </w:rPr>
        <w:t>The same soft-capping procedure developed for Building XVI was employed for Building II, although with some modification necessitated by the peculiar circumstances of th</w:t>
      </w:r>
      <w:r>
        <w:rPr>
          <w:sz w:val="24"/>
          <w:szCs w:val="24"/>
        </w:rPr>
        <w:t>e preserved structure</w:t>
      </w:r>
      <w:r>
        <w:rPr>
          <w:sz w:val="24"/>
          <w:szCs w:val="24"/>
        </w:rPr>
        <w:t xml:space="preserve">. In particular, the extended exposure of the temple’s north wall—made of highly friable sun-dried mudbrick—over the intervening years since the Chicago excavations had resulted in considerable erosion, and the transformation of the outer courses of mudbrick into an undifferentiated soil matrix. Combined with the constraints imposed by the vertical face of the north section of Field 1, it was therefore necessary to remove, or trim, much of this external “skin” away from the better preserved core of the temple wall before the soft capping procedure could commence. Approximately 30 cm of this amorphous soil matrix was removed along the south face of the wall, and similarly around the north pier that separated the temple portico from its inner chamber, or </w:t>
      </w:r>
      <w:proofErr w:type="spellStart"/>
      <w:r>
        <w:rPr>
          <w:sz w:val="24"/>
          <w:szCs w:val="24"/>
        </w:rPr>
        <w:t>cella</w:t>
      </w:r>
      <w:proofErr w:type="spellEnd"/>
      <w:r>
        <w:rPr>
          <w:sz w:val="24"/>
          <w:szCs w:val="24"/>
        </w:rPr>
        <w:t>. These excavations also revealed the remains of the northern-most extension of the stone steps that fronted the monumental entrance to the temple on its east.</w:t>
      </w:r>
    </w:p>
    <w:p w:rsidR="000A3641" w:rsidRDefault="000A3641" w:rsidP="006E47CF">
      <w:pPr>
        <w:spacing w:line="480" w:lineRule="auto"/>
        <w:jc w:val="both"/>
        <w:rPr>
          <w:sz w:val="24"/>
          <w:szCs w:val="24"/>
        </w:rPr>
      </w:pPr>
      <w:r>
        <w:rPr>
          <w:sz w:val="24"/>
          <w:szCs w:val="24"/>
        </w:rPr>
        <w:tab/>
      </w:r>
      <w:r>
        <w:rPr>
          <w:sz w:val="24"/>
          <w:szCs w:val="24"/>
        </w:rPr>
        <w:t xml:space="preserve">Another change to the soft capping procedure involved the installation of wire </w:t>
      </w:r>
      <w:r>
        <w:rPr>
          <w:sz w:val="24"/>
          <w:szCs w:val="24"/>
        </w:rPr>
        <w:t>meshing for structural support</w:t>
      </w:r>
      <w:r>
        <w:rPr>
          <w:sz w:val="24"/>
          <w:szCs w:val="24"/>
        </w:rPr>
        <w:t>. Fine wire meshing was laid over the geotextile covered archaeological remains of the wall, and then sandwiched between the first and second courses of the reconstructed brick; a second layer was applied between the third and fourth and final courses. This was done to provide more stability for the soft-capped exterior of the structure, especially in light of the potential for erosion and undercutting due to the wall’s proximity above the deep north section of Field 1.</w:t>
      </w:r>
    </w:p>
    <w:p w:rsidR="004A2E6E" w:rsidRDefault="000A3641" w:rsidP="006E47CF">
      <w:pPr>
        <w:spacing w:line="480" w:lineRule="auto"/>
        <w:jc w:val="both"/>
        <w:rPr>
          <w:sz w:val="24"/>
          <w:szCs w:val="24"/>
        </w:rPr>
      </w:pPr>
      <w:r>
        <w:rPr>
          <w:sz w:val="24"/>
          <w:szCs w:val="24"/>
        </w:rPr>
        <w:tab/>
      </w:r>
      <w:r>
        <w:rPr>
          <w:sz w:val="24"/>
          <w:szCs w:val="24"/>
        </w:rPr>
        <w:t>A third adjustment involved the installation of a temporary roofed shelter designed to protect the north temple wall and the exposed north section of Field 1 below until a planned pe</w:t>
      </w:r>
      <w:r>
        <w:rPr>
          <w:sz w:val="24"/>
          <w:szCs w:val="24"/>
        </w:rPr>
        <w:t>rmanent shelter can be erected</w:t>
      </w:r>
      <w:r>
        <w:rPr>
          <w:sz w:val="24"/>
          <w:szCs w:val="24"/>
        </w:rPr>
        <w:t xml:space="preserve">. Given the north temple wall’s proximity to the edge of the Field 1 excavations, their depth, and the erosion damage that had occurred over a succession of off-seasons, a temporary shelter was critical if the conservation effort was not to be lost. As an </w:t>
      </w:r>
      <w:r>
        <w:rPr>
          <w:sz w:val="24"/>
          <w:szCs w:val="24"/>
        </w:rPr>
        <w:lastRenderedPageBreak/>
        <w:t>interim solution, the shelter also had to be designed and installed in a manner that would not damage the archaeological remains, and would be completely reversible (or removable), as stipulated by Turkish Ministry of Culture and</w:t>
      </w:r>
      <w:r>
        <w:rPr>
          <w:spacing w:val="1"/>
          <w:sz w:val="24"/>
          <w:szCs w:val="24"/>
        </w:rPr>
        <w:t xml:space="preserve"> </w:t>
      </w:r>
      <w:r>
        <w:rPr>
          <w:sz w:val="24"/>
          <w:szCs w:val="24"/>
        </w:rPr>
        <w:t>Tourism regulations. To accomplish this, the supports for the roof of the shelter were inserted into concrete “buckets” that served as anchors, which in turn were placed above the preserved archaeological remains, but inside the core of the mudbrick capping for further support. The combined weight of the cement, the sturdiness of the surrounding earth packing, wire meshing, and mudbrick capping were designed to provide sufficient stability to extend the roof south enough to shield both the north wall of Building II and the north section of Field 1 from the elements. The height of the roof was limited to 30 cm to provide further protection from the strong seasonal winds and rains.</w:t>
      </w:r>
    </w:p>
    <w:p w:rsidR="000A3641" w:rsidRDefault="000A3641" w:rsidP="006E47CF">
      <w:pPr>
        <w:spacing w:line="480" w:lineRule="auto"/>
        <w:jc w:val="both"/>
        <w:rPr>
          <w:sz w:val="24"/>
          <w:szCs w:val="24"/>
        </w:rPr>
      </w:pPr>
      <w:r>
        <w:rPr>
          <w:sz w:val="24"/>
          <w:szCs w:val="24"/>
        </w:rPr>
        <w:tab/>
        <w:t>T</w:t>
      </w:r>
      <w:r>
        <w:rPr>
          <w:sz w:val="24"/>
          <w:szCs w:val="24"/>
        </w:rPr>
        <w:t xml:space="preserve">he conservation and restoration of the western extent of Building II, which includes its inner sanctum, or ‘holy of holies’, </w:t>
      </w:r>
      <w:r>
        <w:rPr>
          <w:sz w:val="24"/>
          <w:szCs w:val="24"/>
        </w:rPr>
        <w:t>is planned for</w:t>
      </w:r>
      <w:r>
        <w:rPr>
          <w:sz w:val="24"/>
          <w:szCs w:val="24"/>
        </w:rPr>
        <w:t xml:space="preserve"> the 2016 </w:t>
      </w:r>
      <w:proofErr w:type="spellStart"/>
      <w:r>
        <w:rPr>
          <w:sz w:val="24"/>
          <w:szCs w:val="24"/>
        </w:rPr>
        <w:t>Tayinat</w:t>
      </w:r>
      <w:proofErr w:type="spellEnd"/>
      <w:r>
        <w:rPr>
          <w:sz w:val="24"/>
          <w:szCs w:val="24"/>
        </w:rPr>
        <w:t xml:space="preserve"> </w:t>
      </w:r>
      <w:r>
        <w:rPr>
          <w:sz w:val="24"/>
          <w:szCs w:val="24"/>
        </w:rPr>
        <w:t>field season. Conceptually, this will result in a more coherent view not only of the temple, but also of the larger sacred precinct and its place within the Neo</w:t>
      </w:r>
      <w:r>
        <w:rPr>
          <w:sz w:val="24"/>
          <w:szCs w:val="24"/>
        </w:rPr>
        <w:t>-Hittite citadel complex</w:t>
      </w:r>
      <w:r>
        <w:rPr>
          <w:sz w:val="24"/>
          <w:szCs w:val="24"/>
        </w:rPr>
        <w:t xml:space="preserve">. It will also enable the impressive remains of Building II, including life-size replicas of its sculptural stone monuments (see further below), to frame the ongoing investigations in the Field 1 deep sounding, and provide a visually striking stratigraphic profile of </w:t>
      </w:r>
      <w:proofErr w:type="spellStart"/>
      <w:r>
        <w:rPr>
          <w:sz w:val="24"/>
          <w:szCs w:val="24"/>
        </w:rPr>
        <w:t>Tayinat’s</w:t>
      </w:r>
      <w:proofErr w:type="spellEnd"/>
      <w:r>
        <w:rPr>
          <w:sz w:val="24"/>
          <w:szCs w:val="24"/>
        </w:rPr>
        <w:t xml:space="preserve"> lengthy archaeological history</w:t>
      </w:r>
      <w:r>
        <w:rPr>
          <w:sz w:val="24"/>
          <w:szCs w:val="24"/>
        </w:rPr>
        <w:t>, as part of the planned Archaeological Park</w:t>
      </w:r>
      <w:r>
        <w:rPr>
          <w:sz w:val="24"/>
          <w:szCs w:val="24"/>
        </w:rPr>
        <w:t>.</w:t>
      </w:r>
    </w:p>
    <w:p w:rsidR="00BC50BD" w:rsidRPr="00BC50BD" w:rsidRDefault="00BC50BD" w:rsidP="00BC50BD">
      <w:pPr>
        <w:spacing w:line="480" w:lineRule="auto"/>
        <w:jc w:val="center"/>
        <w:rPr>
          <w:b/>
          <w:smallCaps/>
          <w:sz w:val="24"/>
          <w:szCs w:val="24"/>
        </w:rPr>
      </w:pPr>
      <w:proofErr w:type="spellStart"/>
      <w:r w:rsidRPr="00BC50BD">
        <w:rPr>
          <w:b/>
          <w:smallCaps/>
          <w:sz w:val="24"/>
          <w:szCs w:val="24"/>
        </w:rPr>
        <w:t>Luwian</w:t>
      </w:r>
      <w:proofErr w:type="spellEnd"/>
      <w:r w:rsidRPr="00BC50BD">
        <w:rPr>
          <w:b/>
          <w:smallCaps/>
          <w:sz w:val="24"/>
          <w:szCs w:val="24"/>
        </w:rPr>
        <w:t xml:space="preserve"> Monuments and Sculpture Conservation and Restoration</w:t>
      </w:r>
    </w:p>
    <w:p w:rsidR="000A3641" w:rsidRPr="000A3641" w:rsidRDefault="000A3641" w:rsidP="00BC50BD">
      <w:pPr>
        <w:widowControl w:val="0"/>
        <w:autoSpaceDE w:val="0"/>
        <w:autoSpaceDN w:val="0"/>
        <w:adjustRightInd w:val="0"/>
        <w:spacing w:line="480" w:lineRule="auto"/>
        <w:jc w:val="both"/>
        <w:rPr>
          <w:sz w:val="24"/>
          <w:szCs w:val="24"/>
        </w:rPr>
      </w:pPr>
      <w:r w:rsidRPr="000A3641">
        <w:rPr>
          <w:sz w:val="24"/>
          <w:szCs w:val="24"/>
        </w:rPr>
        <w:tab/>
        <w:t>The 2015 season saw</w:t>
      </w:r>
      <w:r>
        <w:rPr>
          <w:sz w:val="24"/>
          <w:szCs w:val="24"/>
        </w:rPr>
        <w:t xml:space="preserve"> a</w:t>
      </w:r>
      <w:r w:rsidRPr="000A3641">
        <w:rPr>
          <w:sz w:val="24"/>
          <w:szCs w:val="24"/>
        </w:rPr>
        <w:t xml:space="preserve"> continuation of the project to restore the Hieroglyphic </w:t>
      </w:r>
      <w:proofErr w:type="spellStart"/>
      <w:r w:rsidRPr="000A3641">
        <w:rPr>
          <w:sz w:val="24"/>
          <w:szCs w:val="24"/>
        </w:rPr>
        <w:t>Luwian</w:t>
      </w:r>
      <w:proofErr w:type="spellEnd"/>
      <w:r w:rsidRPr="000A3641">
        <w:rPr>
          <w:sz w:val="24"/>
          <w:szCs w:val="24"/>
        </w:rPr>
        <w:t xml:space="preserve"> stelae and sculptures that flanked the monumental citadel gate complex and stood in the Temple Precinct at </w:t>
      </w:r>
      <w:proofErr w:type="spellStart"/>
      <w:r w:rsidRPr="000A3641">
        <w:rPr>
          <w:sz w:val="24"/>
          <w:szCs w:val="24"/>
        </w:rPr>
        <w:t>Tayinat</w:t>
      </w:r>
      <w:proofErr w:type="spellEnd"/>
      <w:r w:rsidRPr="000A3641">
        <w:rPr>
          <w:sz w:val="24"/>
          <w:szCs w:val="24"/>
        </w:rPr>
        <w:t>. The primary effort during the 2015 season involved the continued documentation and analysis of the thousands</w:t>
      </w:r>
      <w:r w:rsidRPr="000A3641">
        <w:rPr>
          <w:spacing w:val="-1"/>
          <w:sz w:val="24"/>
          <w:szCs w:val="24"/>
        </w:rPr>
        <w:t xml:space="preserve"> of basalt fragments recovered to date </w:t>
      </w:r>
      <w:r w:rsidRPr="000A3641">
        <w:rPr>
          <w:sz w:val="24"/>
          <w:szCs w:val="24"/>
        </w:rPr>
        <w:t xml:space="preserve">(inventorying, registration and digital imaging) in preparation for a comprehensive restoration program. Almost </w:t>
      </w:r>
      <w:r w:rsidRPr="000A3641">
        <w:rPr>
          <w:sz w:val="24"/>
          <w:szCs w:val="24"/>
        </w:rPr>
        <w:lastRenderedPageBreak/>
        <w:t xml:space="preserve">3000 basalt fragments have now been documented. In conjunction with this restoration project, we plan to produce life-size replicas of these monuments with the aim of installing them </w:t>
      </w:r>
      <w:r w:rsidRPr="000A3641">
        <w:rPr>
          <w:i/>
          <w:sz w:val="24"/>
          <w:szCs w:val="24"/>
        </w:rPr>
        <w:t>in situ</w:t>
      </w:r>
      <w:r w:rsidRPr="000A3641">
        <w:rPr>
          <w:sz w:val="24"/>
          <w:szCs w:val="24"/>
        </w:rPr>
        <w:t xml:space="preserve"> on site as part of the planned </w:t>
      </w:r>
      <w:r w:rsidR="002C2A29">
        <w:rPr>
          <w:sz w:val="24"/>
          <w:szCs w:val="24"/>
        </w:rPr>
        <w:t>A</w:t>
      </w:r>
      <w:r w:rsidRPr="000A3641">
        <w:rPr>
          <w:sz w:val="24"/>
          <w:szCs w:val="24"/>
        </w:rPr>
        <w:t xml:space="preserve">rchaeological </w:t>
      </w:r>
      <w:r w:rsidR="002C2A29">
        <w:rPr>
          <w:sz w:val="24"/>
          <w:szCs w:val="24"/>
        </w:rPr>
        <w:t>P</w:t>
      </w:r>
      <w:r w:rsidRPr="000A3641">
        <w:rPr>
          <w:sz w:val="24"/>
          <w:szCs w:val="24"/>
        </w:rPr>
        <w:t>ark. Permission to create these replicas was secured from the Ministry of Culture and Tourism in 2014.</w:t>
      </w:r>
    </w:p>
    <w:p w:rsidR="00D958E0" w:rsidRPr="004C57C2" w:rsidRDefault="00D958E0" w:rsidP="00910924">
      <w:pPr>
        <w:pStyle w:val="Subtitle"/>
        <w:spacing w:line="480" w:lineRule="auto"/>
        <w:rPr>
          <w:caps w:val="0"/>
          <w:smallCaps/>
          <w:szCs w:val="24"/>
        </w:rPr>
      </w:pPr>
      <w:r>
        <w:rPr>
          <w:caps w:val="0"/>
          <w:smallCaps/>
          <w:szCs w:val="24"/>
        </w:rPr>
        <w:t>Concluding O</w:t>
      </w:r>
      <w:r w:rsidRPr="004C57C2">
        <w:rPr>
          <w:caps w:val="0"/>
          <w:smallCaps/>
          <w:szCs w:val="24"/>
        </w:rPr>
        <w:t>bservations</w:t>
      </w:r>
    </w:p>
    <w:p w:rsidR="00BD5089" w:rsidRPr="00D8724E" w:rsidRDefault="007C4098" w:rsidP="00910924">
      <w:pPr>
        <w:pStyle w:val="BodyText"/>
        <w:spacing w:line="480" w:lineRule="auto"/>
        <w:rPr>
          <w:bCs/>
          <w:szCs w:val="24"/>
        </w:rPr>
      </w:pPr>
      <w:r w:rsidRPr="00D8724E">
        <w:rPr>
          <w:bCs/>
        </w:rPr>
        <w:tab/>
      </w:r>
      <w:r w:rsidR="00DD65D7" w:rsidRPr="00D8724E">
        <w:rPr>
          <w:bCs/>
        </w:rPr>
        <w:t>T</w:t>
      </w:r>
      <w:r w:rsidRPr="00D8724E">
        <w:rPr>
          <w:bCs/>
        </w:rPr>
        <w:t xml:space="preserve">he </w:t>
      </w:r>
      <w:proofErr w:type="spellStart"/>
      <w:r w:rsidR="00B1167C" w:rsidRPr="00D8724E">
        <w:rPr>
          <w:bCs/>
        </w:rPr>
        <w:t>Tayinat</w:t>
      </w:r>
      <w:proofErr w:type="spellEnd"/>
      <w:r w:rsidR="00B1167C" w:rsidRPr="00D8724E">
        <w:rPr>
          <w:bCs/>
        </w:rPr>
        <w:t xml:space="preserve"> Archaeological Project</w:t>
      </w:r>
      <w:r w:rsidR="002C2A29">
        <w:rPr>
          <w:bCs/>
        </w:rPr>
        <w:t>’s 2015</w:t>
      </w:r>
      <w:r w:rsidR="00B1167C" w:rsidRPr="00D8724E">
        <w:rPr>
          <w:bCs/>
        </w:rPr>
        <w:t xml:space="preserve"> </w:t>
      </w:r>
      <w:r w:rsidR="00AB79E8" w:rsidRPr="00D8724E">
        <w:rPr>
          <w:bCs/>
        </w:rPr>
        <w:t>investigatio</w:t>
      </w:r>
      <w:r w:rsidR="0011000D">
        <w:rPr>
          <w:bCs/>
        </w:rPr>
        <w:t>ns</w:t>
      </w:r>
      <w:r w:rsidR="00151B20" w:rsidRPr="00D8724E">
        <w:rPr>
          <w:bCs/>
        </w:rPr>
        <w:t xml:space="preserve"> </w:t>
      </w:r>
      <w:r w:rsidR="00D958E0" w:rsidRPr="00D8724E">
        <w:rPr>
          <w:bCs/>
        </w:rPr>
        <w:t xml:space="preserve">continued to </w:t>
      </w:r>
      <w:r w:rsidR="0011000D">
        <w:rPr>
          <w:bCs/>
        </w:rPr>
        <w:t>document</w:t>
      </w:r>
      <w:r w:rsidR="00D958E0" w:rsidRPr="00D8724E">
        <w:rPr>
          <w:bCs/>
        </w:rPr>
        <w:t xml:space="preserve"> the</w:t>
      </w:r>
      <w:r w:rsidR="00D958E0" w:rsidRPr="00D8724E">
        <w:rPr>
          <w:bCs/>
          <w:szCs w:val="24"/>
        </w:rPr>
        <w:t xml:space="preserve"> </w:t>
      </w:r>
      <w:r w:rsidR="0011000D">
        <w:rPr>
          <w:bCs/>
          <w:szCs w:val="24"/>
        </w:rPr>
        <w:t>rich archaeological remains</w:t>
      </w:r>
      <w:r w:rsidR="00AF6E67" w:rsidRPr="00D8724E">
        <w:rPr>
          <w:bCs/>
          <w:szCs w:val="24"/>
        </w:rPr>
        <w:t xml:space="preserve"> of the</w:t>
      </w:r>
      <w:r w:rsidR="00D37FF2" w:rsidRPr="00D8724E">
        <w:rPr>
          <w:bCs/>
          <w:szCs w:val="24"/>
        </w:rPr>
        <w:t xml:space="preserve"> succession of</w:t>
      </w:r>
      <w:r w:rsidR="0088455A" w:rsidRPr="00D8724E">
        <w:rPr>
          <w:bCs/>
          <w:szCs w:val="24"/>
        </w:rPr>
        <w:t xml:space="preserve"> Early Bronze and</w:t>
      </w:r>
      <w:r w:rsidR="00136B12" w:rsidRPr="00D8724E">
        <w:rPr>
          <w:bCs/>
          <w:szCs w:val="24"/>
        </w:rPr>
        <w:t xml:space="preserve"> </w:t>
      </w:r>
      <w:r w:rsidR="00870F3A" w:rsidRPr="00D8724E">
        <w:rPr>
          <w:bCs/>
          <w:szCs w:val="24"/>
        </w:rPr>
        <w:t xml:space="preserve">Iron Age </w:t>
      </w:r>
      <w:r w:rsidR="001F784F" w:rsidRPr="00D8724E">
        <w:rPr>
          <w:bCs/>
          <w:szCs w:val="24"/>
        </w:rPr>
        <w:t>settlements that occupied the site</w:t>
      </w:r>
      <w:r w:rsidR="000333BE">
        <w:rPr>
          <w:bCs/>
          <w:szCs w:val="24"/>
        </w:rPr>
        <w:t>, in particular as preserved in Fields 1 and 7</w:t>
      </w:r>
      <w:r w:rsidR="00870F3A" w:rsidRPr="00D8724E">
        <w:rPr>
          <w:bCs/>
          <w:szCs w:val="24"/>
        </w:rPr>
        <w:t xml:space="preserve">. </w:t>
      </w:r>
      <w:r w:rsidR="000333BE">
        <w:rPr>
          <w:bCs/>
          <w:szCs w:val="24"/>
        </w:rPr>
        <w:t>The 2015</w:t>
      </w:r>
      <w:r w:rsidR="0011000D">
        <w:rPr>
          <w:bCs/>
          <w:szCs w:val="24"/>
        </w:rPr>
        <w:t xml:space="preserve"> season </w:t>
      </w:r>
      <w:r w:rsidR="000333BE">
        <w:rPr>
          <w:bCs/>
          <w:szCs w:val="24"/>
        </w:rPr>
        <w:t xml:space="preserve">also </w:t>
      </w:r>
      <w:r w:rsidR="0011000D">
        <w:rPr>
          <w:bCs/>
          <w:szCs w:val="24"/>
        </w:rPr>
        <w:t xml:space="preserve">saw </w:t>
      </w:r>
      <w:r w:rsidR="000333BE">
        <w:rPr>
          <w:bCs/>
          <w:szCs w:val="24"/>
        </w:rPr>
        <w:t xml:space="preserve">completion of the intensive surface survey initiated in 2014 </w:t>
      </w:r>
      <w:r w:rsidR="0011000D">
        <w:rPr>
          <w:bCs/>
          <w:szCs w:val="24"/>
        </w:rPr>
        <w:t>in the lower settlement</w:t>
      </w:r>
      <w:r w:rsidR="000333BE">
        <w:rPr>
          <w:bCs/>
          <w:szCs w:val="24"/>
        </w:rPr>
        <w:t xml:space="preserve"> at </w:t>
      </w:r>
      <w:proofErr w:type="spellStart"/>
      <w:r w:rsidR="000333BE">
        <w:rPr>
          <w:bCs/>
          <w:szCs w:val="24"/>
        </w:rPr>
        <w:t>Tayinat</w:t>
      </w:r>
      <w:proofErr w:type="spellEnd"/>
      <w:r w:rsidR="000333BE">
        <w:rPr>
          <w:bCs/>
          <w:szCs w:val="24"/>
        </w:rPr>
        <w:t>. The results of this investigation</w:t>
      </w:r>
      <w:r w:rsidR="0011000D">
        <w:rPr>
          <w:bCs/>
          <w:szCs w:val="24"/>
        </w:rPr>
        <w:t xml:space="preserve"> promises to provide</w:t>
      </w:r>
      <w:r w:rsidR="00F74557">
        <w:rPr>
          <w:bCs/>
          <w:szCs w:val="24"/>
        </w:rPr>
        <w:t xml:space="preserve"> critically important </w:t>
      </w:r>
      <w:r w:rsidR="00887534">
        <w:rPr>
          <w:bCs/>
          <w:szCs w:val="24"/>
        </w:rPr>
        <w:t>knowledge about</w:t>
      </w:r>
      <w:r w:rsidR="0011000D">
        <w:rPr>
          <w:bCs/>
          <w:szCs w:val="24"/>
        </w:rPr>
        <w:t xml:space="preserve"> the residential and industrial activity areas of the ancient settlement.</w:t>
      </w:r>
    </w:p>
    <w:p w:rsidR="007C4098" w:rsidRPr="00D8724E" w:rsidRDefault="007C4098" w:rsidP="00910924">
      <w:pPr>
        <w:pStyle w:val="BodyText"/>
        <w:spacing w:line="480" w:lineRule="auto"/>
        <w:rPr>
          <w:bCs/>
          <w:szCs w:val="24"/>
        </w:rPr>
      </w:pPr>
      <w:r w:rsidRPr="00D8724E">
        <w:rPr>
          <w:bCs/>
          <w:szCs w:val="24"/>
        </w:rPr>
        <w:tab/>
      </w:r>
      <w:r w:rsidR="000333BE">
        <w:rPr>
          <w:bCs/>
          <w:szCs w:val="24"/>
        </w:rPr>
        <w:t>The 2015</w:t>
      </w:r>
      <w:r w:rsidR="001B3567">
        <w:rPr>
          <w:bCs/>
          <w:szCs w:val="24"/>
        </w:rPr>
        <w:t xml:space="preserve"> season also saw </w:t>
      </w:r>
      <w:r w:rsidR="000333BE">
        <w:rPr>
          <w:bCs/>
          <w:szCs w:val="24"/>
        </w:rPr>
        <w:t>a continuation of the</w:t>
      </w:r>
      <w:r w:rsidR="001B3567">
        <w:rPr>
          <w:bCs/>
          <w:szCs w:val="24"/>
        </w:rPr>
        <w:t xml:space="preserve"> conservation</w:t>
      </w:r>
      <w:r w:rsidR="008A7F90" w:rsidRPr="00D8724E">
        <w:rPr>
          <w:bCs/>
          <w:szCs w:val="24"/>
        </w:rPr>
        <w:t xml:space="preserve"> program to </w:t>
      </w:r>
      <w:r w:rsidR="00052FCF">
        <w:rPr>
          <w:bCs/>
          <w:szCs w:val="24"/>
        </w:rPr>
        <w:t>preserve</w:t>
      </w:r>
      <w:r w:rsidR="001B3567">
        <w:rPr>
          <w:bCs/>
          <w:szCs w:val="24"/>
        </w:rPr>
        <w:t xml:space="preserve"> the monumental mud</w:t>
      </w:r>
      <w:r w:rsidR="008A7F90" w:rsidRPr="00D8724E">
        <w:rPr>
          <w:bCs/>
          <w:szCs w:val="24"/>
        </w:rPr>
        <w:t xml:space="preserve">brick architecture </w:t>
      </w:r>
      <w:r w:rsidR="00052FCF">
        <w:rPr>
          <w:bCs/>
          <w:szCs w:val="24"/>
        </w:rPr>
        <w:t>that formed</w:t>
      </w:r>
      <w:r w:rsidR="008A7F90" w:rsidRPr="00D8724E">
        <w:rPr>
          <w:bCs/>
          <w:szCs w:val="24"/>
        </w:rPr>
        <w:t xml:space="preserve"> the royal palaces and temples </w:t>
      </w:r>
      <w:r w:rsidR="00052FCF">
        <w:rPr>
          <w:bCs/>
          <w:szCs w:val="24"/>
        </w:rPr>
        <w:t xml:space="preserve">of </w:t>
      </w:r>
      <w:proofErr w:type="spellStart"/>
      <w:r w:rsidR="00052FCF">
        <w:rPr>
          <w:bCs/>
          <w:szCs w:val="24"/>
        </w:rPr>
        <w:t>Tayinat’s</w:t>
      </w:r>
      <w:proofErr w:type="spellEnd"/>
      <w:r w:rsidR="00052FCF">
        <w:rPr>
          <w:bCs/>
          <w:szCs w:val="24"/>
        </w:rPr>
        <w:t xml:space="preserve"> Neo-Hittite citadel.</w:t>
      </w:r>
      <w:r w:rsidR="008A7F90" w:rsidRPr="00D8724E">
        <w:rPr>
          <w:bCs/>
          <w:szCs w:val="24"/>
        </w:rPr>
        <w:t xml:space="preserve"> </w:t>
      </w:r>
      <w:r w:rsidR="00052FCF">
        <w:rPr>
          <w:bCs/>
          <w:szCs w:val="24"/>
        </w:rPr>
        <w:t>Together with the pathway, viewing platform, and signage</w:t>
      </w:r>
      <w:r w:rsidR="000333BE">
        <w:rPr>
          <w:bCs/>
          <w:szCs w:val="24"/>
        </w:rPr>
        <w:t xml:space="preserve"> installed in 2014</w:t>
      </w:r>
      <w:r w:rsidR="00052FCF">
        <w:rPr>
          <w:bCs/>
          <w:szCs w:val="24"/>
        </w:rPr>
        <w:t>,</w:t>
      </w:r>
      <w:r w:rsidR="000333BE">
        <w:rPr>
          <w:bCs/>
          <w:szCs w:val="24"/>
        </w:rPr>
        <w:t xml:space="preserve"> this effort represents part of</w:t>
      </w:r>
      <w:r w:rsidR="00052FCF">
        <w:rPr>
          <w:bCs/>
          <w:szCs w:val="24"/>
        </w:rPr>
        <w:t xml:space="preserve"> the first phase in the development of the planned</w:t>
      </w:r>
      <w:r w:rsidR="008A7F90" w:rsidRPr="00D8724E">
        <w:rPr>
          <w:bCs/>
          <w:szCs w:val="24"/>
        </w:rPr>
        <w:t xml:space="preserve"> </w:t>
      </w:r>
      <w:proofErr w:type="spellStart"/>
      <w:r w:rsidR="00052FCF">
        <w:rPr>
          <w:bCs/>
          <w:szCs w:val="24"/>
        </w:rPr>
        <w:t>Tayinat</w:t>
      </w:r>
      <w:proofErr w:type="spellEnd"/>
      <w:r w:rsidR="00052FCF">
        <w:rPr>
          <w:bCs/>
          <w:szCs w:val="24"/>
        </w:rPr>
        <w:t xml:space="preserve"> Archaeological P</w:t>
      </w:r>
      <w:r w:rsidR="008A7F90" w:rsidRPr="00D8724E">
        <w:rPr>
          <w:bCs/>
          <w:szCs w:val="24"/>
        </w:rPr>
        <w:t>ark</w:t>
      </w:r>
      <w:r w:rsidR="00280E98">
        <w:rPr>
          <w:bCs/>
          <w:szCs w:val="24"/>
        </w:rPr>
        <w:t xml:space="preserve">, with further expansion anticipated in future field seasons. </w:t>
      </w:r>
      <w:r w:rsidR="00F74557">
        <w:rPr>
          <w:bCs/>
          <w:szCs w:val="24"/>
        </w:rPr>
        <w:t>The r</w:t>
      </w:r>
      <w:r w:rsidR="00F74557">
        <w:rPr>
          <w:szCs w:val="24"/>
        </w:rPr>
        <w:t>estoration of</w:t>
      </w:r>
      <w:r w:rsidR="00280E98" w:rsidRPr="00BC1BF9">
        <w:rPr>
          <w:szCs w:val="24"/>
        </w:rPr>
        <w:t xml:space="preserve"> the Hieroglyphic </w:t>
      </w:r>
      <w:proofErr w:type="spellStart"/>
      <w:r w:rsidR="00280E98" w:rsidRPr="00BC1BF9">
        <w:rPr>
          <w:szCs w:val="24"/>
        </w:rPr>
        <w:t>Luwian</w:t>
      </w:r>
      <w:proofErr w:type="spellEnd"/>
      <w:r w:rsidR="00280E98" w:rsidRPr="00BC1BF9">
        <w:rPr>
          <w:szCs w:val="24"/>
        </w:rPr>
        <w:t xml:space="preserve"> stelae and sculptures that flanked the monumental citadel gate complex and stood in</w:t>
      </w:r>
      <w:r w:rsidR="00F74557">
        <w:rPr>
          <w:szCs w:val="24"/>
        </w:rPr>
        <w:t xml:space="preserve"> the temple precinct will be</w:t>
      </w:r>
      <w:r w:rsidR="00280E98">
        <w:rPr>
          <w:szCs w:val="24"/>
        </w:rPr>
        <w:t xml:space="preserve"> an important component of this </w:t>
      </w:r>
      <w:r w:rsidR="00F74557">
        <w:rPr>
          <w:szCs w:val="24"/>
        </w:rPr>
        <w:t xml:space="preserve">ongoing </w:t>
      </w:r>
      <w:r w:rsidR="00280E98">
        <w:rPr>
          <w:szCs w:val="24"/>
        </w:rPr>
        <w:t xml:space="preserve">effort, with replicas planned for installation </w:t>
      </w:r>
      <w:r w:rsidR="00F74557">
        <w:rPr>
          <w:szCs w:val="24"/>
        </w:rPr>
        <w:t xml:space="preserve">onsite </w:t>
      </w:r>
      <w:r w:rsidR="00280E98">
        <w:rPr>
          <w:szCs w:val="24"/>
        </w:rPr>
        <w:t>once restoration is complete.</w:t>
      </w:r>
    </w:p>
    <w:p w:rsidR="0033580E" w:rsidRDefault="0033580E">
      <w:pPr>
        <w:rPr>
          <w:b/>
          <w:smallCaps/>
          <w:sz w:val="24"/>
          <w:szCs w:val="24"/>
        </w:rPr>
      </w:pPr>
      <w:r>
        <w:rPr>
          <w:caps/>
          <w:smallCaps/>
          <w:szCs w:val="24"/>
        </w:rPr>
        <w:br w:type="page"/>
      </w:r>
    </w:p>
    <w:p w:rsidR="00D958E0" w:rsidRPr="00DA3AFA" w:rsidRDefault="00D958E0" w:rsidP="00910924">
      <w:pPr>
        <w:pStyle w:val="Subtitle"/>
        <w:spacing w:line="480" w:lineRule="auto"/>
        <w:rPr>
          <w:b w:val="0"/>
          <w:caps w:val="0"/>
          <w:smallCaps/>
          <w:szCs w:val="24"/>
        </w:rPr>
      </w:pPr>
      <w:r>
        <w:rPr>
          <w:caps w:val="0"/>
          <w:smallCaps/>
          <w:szCs w:val="24"/>
        </w:rPr>
        <w:lastRenderedPageBreak/>
        <w:t>Acknowledg</w:t>
      </w:r>
      <w:r w:rsidRPr="00DA3AFA">
        <w:rPr>
          <w:caps w:val="0"/>
          <w:smallCaps/>
          <w:szCs w:val="24"/>
        </w:rPr>
        <w:t>ments</w:t>
      </w:r>
    </w:p>
    <w:p w:rsidR="00910924" w:rsidRPr="00D8724E" w:rsidRDefault="00201911" w:rsidP="00910924">
      <w:pPr>
        <w:pStyle w:val="Subtitle"/>
        <w:spacing w:line="480" w:lineRule="auto"/>
        <w:jc w:val="both"/>
        <w:rPr>
          <w:b w:val="0"/>
          <w:bCs/>
          <w:caps w:val="0"/>
          <w:szCs w:val="24"/>
        </w:rPr>
      </w:pPr>
      <w:r>
        <w:rPr>
          <w:b w:val="0"/>
          <w:bCs/>
          <w:caps w:val="0"/>
          <w:szCs w:val="24"/>
        </w:rPr>
        <w:tab/>
        <w:t>The 2015</w:t>
      </w:r>
      <w:r w:rsidR="00D958E0" w:rsidRPr="006263A8">
        <w:rPr>
          <w:b w:val="0"/>
          <w:bCs/>
          <w:caps w:val="0"/>
          <w:szCs w:val="24"/>
        </w:rPr>
        <w:t xml:space="preserve"> </w:t>
      </w:r>
      <w:proofErr w:type="spellStart"/>
      <w:r w:rsidR="00443883">
        <w:rPr>
          <w:b w:val="0"/>
          <w:bCs/>
          <w:caps w:val="0"/>
          <w:szCs w:val="24"/>
        </w:rPr>
        <w:t>Tayinat</w:t>
      </w:r>
      <w:proofErr w:type="spellEnd"/>
      <w:r w:rsidR="00443883">
        <w:rPr>
          <w:b w:val="0"/>
          <w:bCs/>
          <w:caps w:val="0"/>
          <w:szCs w:val="24"/>
        </w:rPr>
        <w:t xml:space="preserve"> Archaeological Project </w:t>
      </w:r>
      <w:r w:rsidR="00D958E0" w:rsidRPr="006263A8">
        <w:rPr>
          <w:b w:val="0"/>
          <w:bCs/>
          <w:caps w:val="0"/>
          <w:szCs w:val="24"/>
        </w:rPr>
        <w:t xml:space="preserve">field season was </w:t>
      </w:r>
      <w:r w:rsidR="00443883">
        <w:rPr>
          <w:b w:val="0"/>
          <w:bCs/>
          <w:caps w:val="0"/>
          <w:szCs w:val="24"/>
        </w:rPr>
        <w:t xml:space="preserve">supported </w:t>
      </w:r>
      <w:r w:rsidR="00D958E0" w:rsidRPr="006263A8">
        <w:rPr>
          <w:b w:val="0"/>
          <w:bCs/>
          <w:caps w:val="0"/>
          <w:szCs w:val="24"/>
        </w:rPr>
        <w:t>by</w:t>
      </w:r>
      <w:r w:rsidR="00C926F1">
        <w:rPr>
          <w:b w:val="0"/>
          <w:bCs/>
          <w:caps w:val="0"/>
          <w:szCs w:val="24"/>
        </w:rPr>
        <w:t xml:space="preserve"> </w:t>
      </w:r>
      <w:r w:rsidR="00443883">
        <w:rPr>
          <w:b w:val="0"/>
          <w:bCs/>
          <w:caps w:val="0"/>
          <w:szCs w:val="24"/>
        </w:rPr>
        <w:t xml:space="preserve">funding </w:t>
      </w:r>
      <w:r w:rsidR="002852C6">
        <w:rPr>
          <w:b w:val="0"/>
          <w:bCs/>
          <w:caps w:val="0"/>
          <w:szCs w:val="24"/>
        </w:rPr>
        <w:t>from</w:t>
      </w:r>
      <w:r w:rsidR="00443883">
        <w:rPr>
          <w:b w:val="0"/>
          <w:bCs/>
          <w:caps w:val="0"/>
          <w:szCs w:val="24"/>
        </w:rPr>
        <w:t xml:space="preserve"> the University of Toronto</w:t>
      </w:r>
      <w:r w:rsidR="002852C6">
        <w:rPr>
          <w:b w:val="0"/>
          <w:bCs/>
          <w:caps w:val="0"/>
          <w:szCs w:val="24"/>
        </w:rPr>
        <w:t>, and</w:t>
      </w:r>
      <w:r w:rsidR="00F64DD1">
        <w:rPr>
          <w:b w:val="0"/>
          <w:bCs/>
          <w:caps w:val="0"/>
          <w:szCs w:val="24"/>
        </w:rPr>
        <w:t xml:space="preserve"> generous grant</w:t>
      </w:r>
      <w:r w:rsidR="002852C6">
        <w:rPr>
          <w:b w:val="0"/>
          <w:bCs/>
          <w:caps w:val="0"/>
          <w:szCs w:val="24"/>
        </w:rPr>
        <w:t>s from the</w:t>
      </w:r>
      <w:r>
        <w:rPr>
          <w:b w:val="0"/>
          <w:bCs/>
          <w:caps w:val="0"/>
          <w:szCs w:val="24"/>
        </w:rPr>
        <w:t xml:space="preserve"> Social Sciences and Humanities Council of Canada, the</w:t>
      </w:r>
      <w:r w:rsidR="002852C6">
        <w:rPr>
          <w:b w:val="0"/>
          <w:bCs/>
          <w:caps w:val="0"/>
          <w:szCs w:val="24"/>
        </w:rPr>
        <w:t xml:space="preserve"> National Geographic Society and</w:t>
      </w:r>
      <w:r w:rsidR="00F64DD1">
        <w:rPr>
          <w:b w:val="0"/>
          <w:bCs/>
          <w:caps w:val="0"/>
          <w:szCs w:val="24"/>
        </w:rPr>
        <w:t xml:space="preserve"> the Kaplan Fund. </w:t>
      </w:r>
      <w:r w:rsidR="00C249C7">
        <w:rPr>
          <w:b w:val="0"/>
          <w:bCs/>
          <w:caps w:val="0"/>
          <w:szCs w:val="24"/>
        </w:rPr>
        <w:t>I would like</w:t>
      </w:r>
      <w:r w:rsidR="00D958E0" w:rsidRPr="006263A8">
        <w:rPr>
          <w:b w:val="0"/>
          <w:bCs/>
          <w:caps w:val="0"/>
          <w:szCs w:val="24"/>
        </w:rPr>
        <w:t xml:space="preserve"> to thank the Directorate of Cultural Heritage and Museums</w:t>
      </w:r>
      <w:r w:rsidR="00427FC2">
        <w:rPr>
          <w:b w:val="0"/>
          <w:bCs/>
          <w:caps w:val="0"/>
          <w:szCs w:val="24"/>
        </w:rPr>
        <w:t xml:space="preserve"> for authorizing </w:t>
      </w:r>
      <w:r w:rsidR="00E570F2">
        <w:rPr>
          <w:b w:val="0"/>
          <w:bCs/>
          <w:caps w:val="0"/>
          <w:szCs w:val="24"/>
        </w:rPr>
        <w:t>permission</w:t>
      </w:r>
      <w:r w:rsidR="00D958E0" w:rsidRPr="006263A8">
        <w:rPr>
          <w:b w:val="0"/>
          <w:bCs/>
          <w:caps w:val="0"/>
          <w:szCs w:val="24"/>
        </w:rPr>
        <w:t xml:space="preserve"> to conduct the excavation</w:t>
      </w:r>
      <w:r w:rsidR="00C926F1">
        <w:rPr>
          <w:b w:val="0"/>
          <w:bCs/>
          <w:caps w:val="0"/>
          <w:szCs w:val="24"/>
        </w:rPr>
        <w:t>s</w:t>
      </w:r>
      <w:r w:rsidR="00427FC2">
        <w:rPr>
          <w:b w:val="0"/>
          <w:bCs/>
          <w:caps w:val="0"/>
          <w:szCs w:val="24"/>
        </w:rPr>
        <w:t xml:space="preserve">, and the </w:t>
      </w:r>
      <w:proofErr w:type="spellStart"/>
      <w:r w:rsidR="00427FC2">
        <w:rPr>
          <w:b w:val="0"/>
          <w:bCs/>
          <w:caps w:val="0"/>
          <w:szCs w:val="24"/>
        </w:rPr>
        <w:t>Tayinat</w:t>
      </w:r>
      <w:proofErr w:type="spellEnd"/>
      <w:r w:rsidR="00427FC2">
        <w:rPr>
          <w:b w:val="0"/>
          <w:bCs/>
          <w:caps w:val="0"/>
          <w:szCs w:val="24"/>
        </w:rPr>
        <w:t xml:space="preserve"> landowners, in particular the </w:t>
      </w:r>
      <w:proofErr w:type="spellStart"/>
      <w:r w:rsidR="00427FC2">
        <w:rPr>
          <w:b w:val="0"/>
          <w:bCs/>
          <w:caps w:val="0"/>
          <w:szCs w:val="24"/>
        </w:rPr>
        <w:t>Kus</w:t>
      </w:r>
      <w:r w:rsidR="00C249C7">
        <w:rPr>
          <w:b w:val="0"/>
          <w:bCs/>
          <w:caps w:val="0"/>
          <w:szCs w:val="24"/>
        </w:rPr>
        <w:t>ey</w:t>
      </w:r>
      <w:r w:rsidR="00427FC2">
        <w:rPr>
          <w:b w:val="0"/>
          <w:bCs/>
          <w:caps w:val="0"/>
          <w:szCs w:val="24"/>
        </w:rPr>
        <w:t>ri</w:t>
      </w:r>
      <w:proofErr w:type="spellEnd"/>
      <w:r w:rsidR="00427FC2">
        <w:rPr>
          <w:b w:val="0"/>
          <w:bCs/>
          <w:caps w:val="0"/>
          <w:szCs w:val="24"/>
        </w:rPr>
        <w:t xml:space="preserve"> famil</w:t>
      </w:r>
      <w:r w:rsidR="00A931CE">
        <w:rPr>
          <w:b w:val="0"/>
          <w:bCs/>
          <w:caps w:val="0"/>
          <w:szCs w:val="24"/>
        </w:rPr>
        <w:t>y</w:t>
      </w:r>
      <w:r w:rsidR="00427FC2">
        <w:rPr>
          <w:b w:val="0"/>
          <w:bCs/>
          <w:caps w:val="0"/>
          <w:szCs w:val="24"/>
        </w:rPr>
        <w:t>, for gracious</w:t>
      </w:r>
      <w:r w:rsidR="00A931CE">
        <w:rPr>
          <w:b w:val="0"/>
          <w:bCs/>
          <w:caps w:val="0"/>
          <w:szCs w:val="24"/>
        </w:rPr>
        <w:t>ly</w:t>
      </w:r>
      <w:r w:rsidR="00427FC2">
        <w:rPr>
          <w:b w:val="0"/>
          <w:bCs/>
          <w:caps w:val="0"/>
          <w:szCs w:val="24"/>
        </w:rPr>
        <w:t xml:space="preserve"> accommodating our </w:t>
      </w:r>
      <w:r w:rsidR="001479EA">
        <w:rPr>
          <w:b w:val="0"/>
          <w:bCs/>
          <w:caps w:val="0"/>
          <w:szCs w:val="24"/>
        </w:rPr>
        <w:t>investigatio</w:t>
      </w:r>
      <w:r w:rsidR="00427FC2">
        <w:rPr>
          <w:b w:val="0"/>
          <w:bCs/>
          <w:caps w:val="0"/>
          <w:szCs w:val="24"/>
        </w:rPr>
        <w:t>ns</w:t>
      </w:r>
      <w:r w:rsidR="00A931CE">
        <w:rPr>
          <w:b w:val="0"/>
          <w:bCs/>
          <w:caps w:val="0"/>
          <w:szCs w:val="24"/>
        </w:rPr>
        <w:t xml:space="preserve"> on their land</w:t>
      </w:r>
      <w:r w:rsidR="00C249C7">
        <w:rPr>
          <w:b w:val="0"/>
          <w:bCs/>
          <w:caps w:val="0"/>
          <w:szCs w:val="24"/>
        </w:rPr>
        <w:t>. I wish to express</w:t>
      </w:r>
      <w:r w:rsidR="001479EA">
        <w:rPr>
          <w:b w:val="0"/>
          <w:bCs/>
          <w:caps w:val="0"/>
          <w:szCs w:val="24"/>
        </w:rPr>
        <w:t xml:space="preserve"> my sincerest appreciation to M</w:t>
      </w:r>
      <w:r>
        <w:rPr>
          <w:b w:val="0"/>
          <w:bCs/>
          <w:caps w:val="0"/>
          <w:szCs w:val="24"/>
        </w:rPr>
        <w:t xml:space="preserve">s. </w:t>
      </w:r>
      <w:proofErr w:type="spellStart"/>
      <w:r>
        <w:rPr>
          <w:b w:val="0"/>
          <w:bCs/>
          <w:caps w:val="0"/>
          <w:szCs w:val="24"/>
        </w:rPr>
        <w:t>Nesrin</w:t>
      </w:r>
      <w:proofErr w:type="spellEnd"/>
      <w:r>
        <w:rPr>
          <w:b w:val="0"/>
          <w:bCs/>
          <w:caps w:val="0"/>
          <w:szCs w:val="24"/>
        </w:rPr>
        <w:t xml:space="preserve"> </w:t>
      </w:r>
      <w:proofErr w:type="spellStart"/>
      <w:r>
        <w:rPr>
          <w:b w:val="0"/>
          <w:bCs/>
          <w:caps w:val="0"/>
          <w:szCs w:val="24"/>
        </w:rPr>
        <w:t>Demirhan</w:t>
      </w:r>
      <w:proofErr w:type="spellEnd"/>
      <w:r w:rsidR="00FF289A">
        <w:rPr>
          <w:b w:val="0"/>
          <w:bCs/>
          <w:caps w:val="0"/>
          <w:szCs w:val="24"/>
        </w:rPr>
        <w:t>,</w:t>
      </w:r>
      <w:r w:rsidR="00644A9E">
        <w:rPr>
          <w:b w:val="0"/>
          <w:bCs/>
          <w:caps w:val="0"/>
          <w:szCs w:val="24"/>
        </w:rPr>
        <w:t xml:space="preserve"> </w:t>
      </w:r>
      <w:r w:rsidR="00A31C0F">
        <w:rPr>
          <w:b w:val="0"/>
          <w:bCs/>
          <w:caps w:val="0"/>
          <w:szCs w:val="24"/>
        </w:rPr>
        <w:t xml:space="preserve">who was a tireless advocate for the </w:t>
      </w:r>
      <w:proofErr w:type="spellStart"/>
      <w:r w:rsidR="00A31C0F">
        <w:rPr>
          <w:b w:val="0"/>
          <w:bCs/>
          <w:caps w:val="0"/>
          <w:szCs w:val="24"/>
        </w:rPr>
        <w:t>Tayinat</w:t>
      </w:r>
      <w:proofErr w:type="spellEnd"/>
      <w:r w:rsidR="00A31C0F">
        <w:rPr>
          <w:b w:val="0"/>
          <w:bCs/>
          <w:caps w:val="0"/>
          <w:szCs w:val="24"/>
        </w:rPr>
        <w:t xml:space="preserve"> Project </w:t>
      </w:r>
      <w:r w:rsidR="001479EA">
        <w:rPr>
          <w:b w:val="0"/>
          <w:bCs/>
          <w:caps w:val="0"/>
          <w:szCs w:val="24"/>
        </w:rPr>
        <w:t>as our government representative</w:t>
      </w:r>
      <w:r w:rsidR="00A31C0F">
        <w:rPr>
          <w:b w:val="0"/>
          <w:bCs/>
          <w:caps w:val="0"/>
          <w:szCs w:val="24"/>
        </w:rPr>
        <w:t>.</w:t>
      </w:r>
      <w:r w:rsidR="00C249C7">
        <w:rPr>
          <w:b w:val="0"/>
          <w:bCs/>
          <w:caps w:val="0"/>
          <w:szCs w:val="24"/>
        </w:rPr>
        <w:t xml:space="preserve"> I wish also to thank</w:t>
      </w:r>
      <w:r w:rsidR="00E570F2">
        <w:rPr>
          <w:b w:val="0"/>
          <w:bCs/>
          <w:caps w:val="0"/>
          <w:szCs w:val="24"/>
        </w:rPr>
        <w:t xml:space="preserve"> </w:t>
      </w:r>
      <w:r w:rsidR="001479EA">
        <w:rPr>
          <w:b w:val="0"/>
          <w:bCs/>
          <w:caps w:val="0"/>
          <w:szCs w:val="24"/>
        </w:rPr>
        <w:t>Ms</w:t>
      </w:r>
      <w:r w:rsidR="00990760">
        <w:rPr>
          <w:b w:val="0"/>
          <w:bCs/>
          <w:caps w:val="0"/>
          <w:szCs w:val="24"/>
        </w:rPr>
        <w:t>.</w:t>
      </w:r>
      <w:r w:rsidR="00990760" w:rsidRPr="0013743E">
        <w:rPr>
          <w:b w:val="0"/>
          <w:bCs/>
          <w:caps w:val="0"/>
          <w:szCs w:val="24"/>
        </w:rPr>
        <w:t xml:space="preserve"> </w:t>
      </w:r>
      <w:proofErr w:type="spellStart"/>
      <w:r w:rsidR="0013743E" w:rsidRPr="0013743E">
        <w:rPr>
          <w:b w:val="0"/>
          <w:caps w:val="0"/>
          <w:szCs w:val="24"/>
        </w:rPr>
        <w:t>N</w:t>
      </w:r>
      <w:r w:rsidR="0013743E" w:rsidRPr="0013743E">
        <w:rPr>
          <w:b w:val="0"/>
          <w:caps w:val="0"/>
          <w:spacing w:val="-1"/>
          <w:szCs w:val="24"/>
        </w:rPr>
        <w:t>il</w:t>
      </w:r>
      <w:r w:rsidR="0013743E" w:rsidRPr="0013743E">
        <w:rPr>
          <w:b w:val="0"/>
          <w:caps w:val="0"/>
          <w:spacing w:val="1"/>
          <w:szCs w:val="24"/>
        </w:rPr>
        <w:t>ü</w:t>
      </w:r>
      <w:r w:rsidR="0013743E" w:rsidRPr="0013743E">
        <w:rPr>
          <w:b w:val="0"/>
          <w:caps w:val="0"/>
          <w:szCs w:val="24"/>
        </w:rPr>
        <w:t>f</w:t>
      </w:r>
      <w:r w:rsidR="0013743E" w:rsidRPr="0013743E">
        <w:rPr>
          <w:b w:val="0"/>
          <w:caps w:val="0"/>
          <w:spacing w:val="-1"/>
          <w:szCs w:val="24"/>
        </w:rPr>
        <w:t>e</w:t>
      </w:r>
      <w:r w:rsidR="0013743E" w:rsidRPr="0013743E">
        <w:rPr>
          <w:b w:val="0"/>
          <w:caps w:val="0"/>
          <w:szCs w:val="24"/>
        </w:rPr>
        <w:t>r</w:t>
      </w:r>
      <w:proofErr w:type="spellEnd"/>
      <w:r w:rsidR="0013743E" w:rsidRPr="0013743E">
        <w:rPr>
          <w:b w:val="0"/>
          <w:caps w:val="0"/>
          <w:spacing w:val="-1"/>
          <w:szCs w:val="24"/>
        </w:rPr>
        <w:t xml:space="preserve"> </w:t>
      </w:r>
      <w:proofErr w:type="spellStart"/>
      <w:r w:rsidR="0013743E" w:rsidRPr="0013743E">
        <w:rPr>
          <w:b w:val="0"/>
          <w:caps w:val="0"/>
          <w:szCs w:val="24"/>
        </w:rPr>
        <w:t>Se</w:t>
      </w:r>
      <w:r w:rsidR="0013743E" w:rsidRPr="0013743E">
        <w:rPr>
          <w:b w:val="0"/>
          <w:caps w:val="0"/>
          <w:spacing w:val="-1"/>
          <w:szCs w:val="24"/>
        </w:rPr>
        <w:t>z</w:t>
      </w:r>
      <w:r w:rsidR="0013743E" w:rsidRPr="0013743E">
        <w:rPr>
          <w:b w:val="0"/>
          <w:caps w:val="0"/>
          <w:spacing w:val="1"/>
          <w:szCs w:val="24"/>
        </w:rPr>
        <w:t>g</w:t>
      </w:r>
      <w:r w:rsidR="0013743E" w:rsidRPr="0013743E">
        <w:rPr>
          <w:b w:val="0"/>
          <w:caps w:val="0"/>
          <w:spacing w:val="-1"/>
          <w:szCs w:val="24"/>
        </w:rPr>
        <w:t>i</w:t>
      </w:r>
      <w:r w:rsidR="0013743E" w:rsidRPr="0013743E">
        <w:rPr>
          <w:b w:val="0"/>
          <w:caps w:val="0"/>
          <w:szCs w:val="24"/>
        </w:rPr>
        <w:t>n</w:t>
      </w:r>
      <w:proofErr w:type="spellEnd"/>
      <w:r w:rsidR="0011000D">
        <w:rPr>
          <w:b w:val="0"/>
          <w:bCs/>
          <w:caps w:val="0"/>
          <w:szCs w:val="24"/>
        </w:rPr>
        <w:t xml:space="preserve">, Director of the </w:t>
      </w:r>
      <w:proofErr w:type="spellStart"/>
      <w:r w:rsidR="0011000D">
        <w:rPr>
          <w:b w:val="0"/>
          <w:bCs/>
          <w:caps w:val="0"/>
          <w:szCs w:val="24"/>
        </w:rPr>
        <w:t>Hatay</w:t>
      </w:r>
      <w:proofErr w:type="spellEnd"/>
      <w:r w:rsidR="00D958E0" w:rsidRPr="006263A8">
        <w:rPr>
          <w:b w:val="0"/>
          <w:bCs/>
          <w:caps w:val="0"/>
          <w:szCs w:val="24"/>
        </w:rPr>
        <w:t xml:space="preserve"> </w:t>
      </w:r>
      <w:r w:rsidR="00A931CE">
        <w:rPr>
          <w:b w:val="0"/>
          <w:bCs/>
          <w:caps w:val="0"/>
          <w:szCs w:val="24"/>
        </w:rPr>
        <w:t xml:space="preserve">Archaeological </w:t>
      </w:r>
      <w:r w:rsidR="00D958E0" w:rsidRPr="006263A8">
        <w:rPr>
          <w:b w:val="0"/>
          <w:bCs/>
          <w:caps w:val="0"/>
          <w:szCs w:val="24"/>
        </w:rPr>
        <w:t xml:space="preserve">Museum, and </w:t>
      </w:r>
      <w:r w:rsidR="00E570F2">
        <w:rPr>
          <w:b w:val="0"/>
          <w:bCs/>
          <w:caps w:val="0"/>
          <w:szCs w:val="24"/>
        </w:rPr>
        <w:t>the staff of the m</w:t>
      </w:r>
      <w:r w:rsidR="00FF289A">
        <w:rPr>
          <w:b w:val="0"/>
          <w:bCs/>
          <w:caps w:val="0"/>
          <w:szCs w:val="24"/>
        </w:rPr>
        <w:t>useum</w:t>
      </w:r>
      <w:r w:rsidR="00D958E0" w:rsidRPr="006263A8">
        <w:rPr>
          <w:b w:val="0"/>
          <w:bCs/>
          <w:caps w:val="0"/>
          <w:szCs w:val="24"/>
        </w:rPr>
        <w:t xml:space="preserve"> for their assistance </w:t>
      </w:r>
      <w:r w:rsidR="00C249C7">
        <w:rPr>
          <w:b w:val="0"/>
          <w:bCs/>
          <w:caps w:val="0"/>
          <w:szCs w:val="24"/>
        </w:rPr>
        <w:t>during the season</w:t>
      </w:r>
      <w:r w:rsidR="00D958E0" w:rsidRPr="006263A8">
        <w:rPr>
          <w:b w:val="0"/>
          <w:bCs/>
          <w:caps w:val="0"/>
          <w:szCs w:val="24"/>
        </w:rPr>
        <w:t>.</w:t>
      </w:r>
      <w:r w:rsidR="00E570F2">
        <w:rPr>
          <w:b w:val="0"/>
          <w:bCs/>
          <w:caps w:val="0"/>
          <w:szCs w:val="24"/>
        </w:rPr>
        <w:t xml:space="preserve"> </w:t>
      </w:r>
      <w:r w:rsidR="00A31C0F">
        <w:rPr>
          <w:b w:val="0"/>
          <w:bCs/>
          <w:caps w:val="0"/>
          <w:szCs w:val="24"/>
        </w:rPr>
        <w:t>Finally, t</w:t>
      </w:r>
      <w:r w:rsidR="00E570F2" w:rsidRPr="006263A8">
        <w:rPr>
          <w:b w:val="0"/>
          <w:bCs/>
          <w:caps w:val="0"/>
          <w:szCs w:val="24"/>
        </w:rPr>
        <w:t xml:space="preserve">he season’s successful results would not have been possible without </w:t>
      </w:r>
      <w:r w:rsidR="00AD78ED">
        <w:rPr>
          <w:b w:val="0"/>
          <w:bCs/>
          <w:caps w:val="0"/>
          <w:szCs w:val="24"/>
        </w:rPr>
        <w:t>the dedicated efforts of all our</w:t>
      </w:r>
      <w:r w:rsidR="00E570F2" w:rsidRPr="006263A8">
        <w:rPr>
          <w:b w:val="0"/>
          <w:bCs/>
          <w:caps w:val="0"/>
          <w:szCs w:val="24"/>
        </w:rPr>
        <w:t xml:space="preserve"> project staff</w:t>
      </w:r>
      <w:r w:rsidR="00E570F2" w:rsidRPr="00D8724E">
        <w:rPr>
          <w:b w:val="0"/>
          <w:bCs/>
          <w:caps w:val="0"/>
          <w:szCs w:val="24"/>
        </w:rPr>
        <w:t>.</w:t>
      </w:r>
      <w:r w:rsidR="008A7F90" w:rsidRPr="00D8724E">
        <w:rPr>
          <w:b w:val="0"/>
          <w:bCs/>
          <w:caps w:val="0"/>
          <w:szCs w:val="24"/>
        </w:rPr>
        <w:t xml:space="preserve"> </w:t>
      </w:r>
      <w:r w:rsidR="00027C04" w:rsidRPr="00D8724E">
        <w:rPr>
          <w:b w:val="0"/>
          <w:bCs/>
          <w:caps w:val="0"/>
          <w:szCs w:val="24"/>
        </w:rPr>
        <w:t xml:space="preserve">I gratefully acknowledge </w:t>
      </w:r>
      <w:proofErr w:type="spellStart"/>
      <w:r w:rsidR="00027C04" w:rsidRPr="00D8724E">
        <w:rPr>
          <w:b w:val="0"/>
          <w:smallCaps/>
          <w:szCs w:val="24"/>
        </w:rPr>
        <w:t>Ö</w:t>
      </w:r>
      <w:r w:rsidR="00027C04" w:rsidRPr="00D8724E">
        <w:rPr>
          <w:b w:val="0"/>
          <w:bCs/>
          <w:caps w:val="0"/>
          <w:szCs w:val="24"/>
        </w:rPr>
        <w:t>zge</w:t>
      </w:r>
      <w:proofErr w:type="spellEnd"/>
      <w:r w:rsidR="00027C04" w:rsidRPr="00D8724E">
        <w:rPr>
          <w:b w:val="0"/>
          <w:bCs/>
          <w:caps w:val="0"/>
          <w:szCs w:val="24"/>
        </w:rPr>
        <w:t xml:space="preserve"> </w:t>
      </w:r>
      <w:proofErr w:type="spellStart"/>
      <w:r w:rsidR="00027C04" w:rsidRPr="00D8724E">
        <w:rPr>
          <w:b w:val="0"/>
          <w:bCs/>
          <w:caps w:val="0"/>
          <w:szCs w:val="24"/>
        </w:rPr>
        <w:t>De</w:t>
      </w:r>
      <w:bookmarkStart w:id="0" w:name="_GoBack"/>
      <w:bookmarkEnd w:id="0"/>
      <w:r w:rsidR="00027C04" w:rsidRPr="00D8724E">
        <w:rPr>
          <w:b w:val="0"/>
          <w:bCs/>
          <w:caps w:val="0"/>
          <w:szCs w:val="24"/>
        </w:rPr>
        <w:t>mirci</w:t>
      </w:r>
      <w:proofErr w:type="spellEnd"/>
      <w:r w:rsidR="00027C04" w:rsidRPr="00D8724E">
        <w:rPr>
          <w:b w:val="0"/>
          <w:bCs/>
          <w:caps w:val="0"/>
          <w:szCs w:val="24"/>
        </w:rPr>
        <w:t xml:space="preserve"> for her help with the translation of this report.</w:t>
      </w:r>
    </w:p>
    <w:sectPr w:rsidR="00910924" w:rsidRPr="00D8724E" w:rsidSect="001969A3">
      <w:headerReference w:type="default" r:id="rId10"/>
      <w:headerReference w:type="first" r:id="rId11"/>
      <w:pgSz w:w="12240" w:h="15840" w:code="1"/>
      <w:pgMar w:top="1440" w:right="1440"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99" w:rsidRDefault="00965699" w:rsidP="002F7E88">
      <w:r>
        <w:separator/>
      </w:r>
    </w:p>
  </w:endnote>
  <w:endnote w:type="continuationSeparator" w:id="0">
    <w:p w:rsidR="00965699" w:rsidRDefault="00965699" w:rsidP="002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99" w:rsidRDefault="00965699" w:rsidP="002F7E88">
      <w:r>
        <w:separator/>
      </w:r>
    </w:p>
  </w:footnote>
  <w:footnote w:type="continuationSeparator" w:id="0">
    <w:p w:rsidR="00965699" w:rsidRDefault="00965699" w:rsidP="002F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69" w:rsidRDefault="00867D69">
    <w:pPr>
      <w:pStyle w:val="Header"/>
      <w:jc w:val="right"/>
    </w:pPr>
    <w:r>
      <w:t>Harrison/TAP15--</w:t>
    </w:r>
    <w:r>
      <w:rPr>
        <w:rStyle w:val="PageNumber"/>
      </w:rPr>
      <w:fldChar w:fldCharType="begin"/>
    </w:r>
    <w:r>
      <w:rPr>
        <w:rStyle w:val="PageNumber"/>
      </w:rPr>
      <w:instrText xml:space="preserve"> PAGE </w:instrText>
    </w:r>
    <w:r>
      <w:rPr>
        <w:rStyle w:val="PageNumber"/>
      </w:rPr>
      <w:fldChar w:fldCharType="separate"/>
    </w:r>
    <w:r w:rsidR="000333BE">
      <w:rPr>
        <w:rStyle w:val="PageNumber"/>
        <w:noProof/>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69" w:rsidRPr="00E959C8" w:rsidRDefault="00867D69" w:rsidP="00A23087">
    <w:pPr>
      <w:pStyle w:val="Header"/>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6C8"/>
    <w:multiLevelType w:val="hybridMultilevel"/>
    <w:tmpl w:val="386A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B11683"/>
    <w:multiLevelType w:val="hybridMultilevel"/>
    <w:tmpl w:val="C5B8D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681A44"/>
    <w:multiLevelType w:val="hybridMultilevel"/>
    <w:tmpl w:val="53E015D6"/>
    <w:lvl w:ilvl="0" w:tplc="7636500C">
      <w:numFmt w:val="bullet"/>
      <w:lvlText w:val=""/>
      <w:lvlJc w:val="left"/>
      <w:pPr>
        <w:ind w:left="460" w:hanging="360"/>
      </w:pPr>
      <w:rPr>
        <w:rFonts w:ascii="Times New Roman" w:eastAsia="Symbol" w:hAnsi="Times New Roman"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88"/>
    <w:rsid w:val="000005FE"/>
    <w:rsid w:val="00001795"/>
    <w:rsid w:val="00007036"/>
    <w:rsid w:val="00027273"/>
    <w:rsid w:val="00027C04"/>
    <w:rsid w:val="000333BE"/>
    <w:rsid w:val="00036A3A"/>
    <w:rsid w:val="00052C34"/>
    <w:rsid w:val="00052FCF"/>
    <w:rsid w:val="00056834"/>
    <w:rsid w:val="00057C15"/>
    <w:rsid w:val="00060978"/>
    <w:rsid w:val="00064650"/>
    <w:rsid w:val="000706AB"/>
    <w:rsid w:val="0008231B"/>
    <w:rsid w:val="00090BFF"/>
    <w:rsid w:val="000A0041"/>
    <w:rsid w:val="000A1B54"/>
    <w:rsid w:val="000A237E"/>
    <w:rsid w:val="000A3641"/>
    <w:rsid w:val="000B0D94"/>
    <w:rsid w:val="000B145A"/>
    <w:rsid w:val="000D15FD"/>
    <w:rsid w:val="000D3E21"/>
    <w:rsid w:val="000D71AE"/>
    <w:rsid w:val="000F03ED"/>
    <w:rsid w:val="000F47DE"/>
    <w:rsid w:val="00101EFE"/>
    <w:rsid w:val="00102B6F"/>
    <w:rsid w:val="0011000D"/>
    <w:rsid w:val="00111F5F"/>
    <w:rsid w:val="001174EF"/>
    <w:rsid w:val="00117D3E"/>
    <w:rsid w:val="0012187D"/>
    <w:rsid w:val="00122495"/>
    <w:rsid w:val="0012429B"/>
    <w:rsid w:val="001302C0"/>
    <w:rsid w:val="001320E0"/>
    <w:rsid w:val="00136B12"/>
    <w:rsid w:val="0013743E"/>
    <w:rsid w:val="00140EF4"/>
    <w:rsid w:val="001428B7"/>
    <w:rsid w:val="0014568E"/>
    <w:rsid w:val="00145C6D"/>
    <w:rsid w:val="001479EA"/>
    <w:rsid w:val="00150AEB"/>
    <w:rsid w:val="00151B20"/>
    <w:rsid w:val="00154068"/>
    <w:rsid w:val="00156072"/>
    <w:rsid w:val="00161B78"/>
    <w:rsid w:val="00172DE1"/>
    <w:rsid w:val="00183CB6"/>
    <w:rsid w:val="001867EA"/>
    <w:rsid w:val="001933F9"/>
    <w:rsid w:val="00195B4F"/>
    <w:rsid w:val="001969A3"/>
    <w:rsid w:val="00197438"/>
    <w:rsid w:val="001A5B4F"/>
    <w:rsid w:val="001B0790"/>
    <w:rsid w:val="001B3567"/>
    <w:rsid w:val="001E5FBA"/>
    <w:rsid w:val="001E69F8"/>
    <w:rsid w:val="001F0AFE"/>
    <w:rsid w:val="001F7360"/>
    <w:rsid w:val="001F784F"/>
    <w:rsid w:val="00201911"/>
    <w:rsid w:val="00234815"/>
    <w:rsid w:val="00236F88"/>
    <w:rsid w:val="00244E76"/>
    <w:rsid w:val="0025037B"/>
    <w:rsid w:val="00256835"/>
    <w:rsid w:val="0025737E"/>
    <w:rsid w:val="00274332"/>
    <w:rsid w:val="00276C51"/>
    <w:rsid w:val="00280E98"/>
    <w:rsid w:val="0028417F"/>
    <w:rsid w:val="002852C6"/>
    <w:rsid w:val="002918B9"/>
    <w:rsid w:val="002A1CE3"/>
    <w:rsid w:val="002A246B"/>
    <w:rsid w:val="002A469C"/>
    <w:rsid w:val="002A48FC"/>
    <w:rsid w:val="002B2F4F"/>
    <w:rsid w:val="002B7228"/>
    <w:rsid w:val="002C2A29"/>
    <w:rsid w:val="002C3FFF"/>
    <w:rsid w:val="002C627A"/>
    <w:rsid w:val="002D29A4"/>
    <w:rsid w:val="002E283E"/>
    <w:rsid w:val="002E3749"/>
    <w:rsid w:val="002E4A99"/>
    <w:rsid w:val="002F0B41"/>
    <w:rsid w:val="002F7E88"/>
    <w:rsid w:val="00303E3C"/>
    <w:rsid w:val="00306329"/>
    <w:rsid w:val="003104E6"/>
    <w:rsid w:val="003151FB"/>
    <w:rsid w:val="003208DA"/>
    <w:rsid w:val="00321554"/>
    <w:rsid w:val="0032252C"/>
    <w:rsid w:val="00322556"/>
    <w:rsid w:val="00326294"/>
    <w:rsid w:val="0033250E"/>
    <w:rsid w:val="0033580E"/>
    <w:rsid w:val="00341764"/>
    <w:rsid w:val="003477F5"/>
    <w:rsid w:val="00347DF8"/>
    <w:rsid w:val="0036482A"/>
    <w:rsid w:val="003660C2"/>
    <w:rsid w:val="0037398B"/>
    <w:rsid w:val="00390426"/>
    <w:rsid w:val="00391EE1"/>
    <w:rsid w:val="003A4CE8"/>
    <w:rsid w:val="003A7D6E"/>
    <w:rsid w:val="003B6F6D"/>
    <w:rsid w:val="003C08CA"/>
    <w:rsid w:val="003C2B8F"/>
    <w:rsid w:val="003C3211"/>
    <w:rsid w:val="003C68A9"/>
    <w:rsid w:val="003D1216"/>
    <w:rsid w:val="003E1902"/>
    <w:rsid w:val="003E6547"/>
    <w:rsid w:val="00402761"/>
    <w:rsid w:val="00403F4E"/>
    <w:rsid w:val="004042D2"/>
    <w:rsid w:val="00412AE4"/>
    <w:rsid w:val="00424A1A"/>
    <w:rsid w:val="004277A6"/>
    <w:rsid w:val="00427FC2"/>
    <w:rsid w:val="004312C0"/>
    <w:rsid w:val="0043308A"/>
    <w:rsid w:val="00443883"/>
    <w:rsid w:val="00445D88"/>
    <w:rsid w:val="0044673F"/>
    <w:rsid w:val="0045723D"/>
    <w:rsid w:val="004621D8"/>
    <w:rsid w:val="0047764A"/>
    <w:rsid w:val="00483B61"/>
    <w:rsid w:val="00491320"/>
    <w:rsid w:val="004930F6"/>
    <w:rsid w:val="004A2E6E"/>
    <w:rsid w:val="004A3C08"/>
    <w:rsid w:val="004A7DE7"/>
    <w:rsid w:val="004B2807"/>
    <w:rsid w:val="004B35B0"/>
    <w:rsid w:val="004D19DF"/>
    <w:rsid w:val="004D1E74"/>
    <w:rsid w:val="004D32A7"/>
    <w:rsid w:val="004D64B4"/>
    <w:rsid w:val="004F1B61"/>
    <w:rsid w:val="004F5EBE"/>
    <w:rsid w:val="00501107"/>
    <w:rsid w:val="005050EA"/>
    <w:rsid w:val="00511992"/>
    <w:rsid w:val="00511A18"/>
    <w:rsid w:val="00517B6C"/>
    <w:rsid w:val="00533066"/>
    <w:rsid w:val="005357EE"/>
    <w:rsid w:val="00537F1C"/>
    <w:rsid w:val="0054603B"/>
    <w:rsid w:val="00546D52"/>
    <w:rsid w:val="0055233F"/>
    <w:rsid w:val="0055541F"/>
    <w:rsid w:val="00561722"/>
    <w:rsid w:val="00565168"/>
    <w:rsid w:val="00566E23"/>
    <w:rsid w:val="00571D0A"/>
    <w:rsid w:val="00573CF9"/>
    <w:rsid w:val="00582F92"/>
    <w:rsid w:val="00584804"/>
    <w:rsid w:val="00595FE2"/>
    <w:rsid w:val="005A2569"/>
    <w:rsid w:val="005B0515"/>
    <w:rsid w:val="005D61FC"/>
    <w:rsid w:val="005E75E2"/>
    <w:rsid w:val="005F1F26"/>
    <w:rsid w:val="0060616C"/>
    <w:rsid w:val="006310A6"/>
    <w:rsid w:val="00632BB0"/>
    <w:rsid w:val="00634BD9"/>
    <w:rsid w:val="00642651"/>
    <w:rsid w:val="00644A9E"/>
    <w:rsid w:val="00660E80"/>
    <w:rsid w:val="0066213C"/>
    <w:rsid w:val="006651DA"/>
    <w:rsid w:val="006764C5"/>
    <w:rsid w:val="006813E9"/>
    <w:rsid w:val="00691C57"/>
    <w:rsid w:val="00696270"/>
    <w:rsid w:val="006A4EF9"/>
    <w:rsid w:val="006B0D11"/>
    <w:rsid w:val="006B14C5"/>
    <w:rsid w:val="006B3AB6"/>
    <w:rsid w:val="006B5176"/>
    <w:rsid w:val="006C0D61"/>
    <w:rsid w:val="006C6D9C"/>
    <w:rsid w:val="006E47CF"/>
    <w:rsid w:val="006E74E7"/>
    <w:rsid w:val="006F2860"/>
    <w:rsid w:val="00700445"/>
    <w:rsid w:val="0070233D"/>
    <w:rsid w:val="00703697"/>
    <w:rsid w:val="007177FF"/>
    <w:rsid w:val="00723CEC"/>
    <w:rsid w:val="00724BE3"/>
    <w:rsid w:val="00734987"/>
    <w:rsid w:val="00734A34"/>
    <w:rsid w:val="00737E09"/>
    <w:rsid w:val="00743611"/>
    <w:rsid w:val="00746EF6"/>
    <w:rsid w:val="0075275D"/>
    <w:rsid w:val="00754A63"/>
    <w:rsid w:val="00761D2A"/>
    <w:rsid w:val="007622FD"/>
    <w:rsid w:val="00763588"/>
    <w:rsid w:val="00772054"/>
    <w:rsid w:val="00783F42"/>
    <w:rsid w:val="00790BF8"/>
    <w:rsid w:val="0079753D"/>
    <w:rsid w:val="007A6AFA"/>
    <w:rsid w:val="007C16E7"/>
    <w:rsid w:val="007C1DCA"/>
    <w:rsid w:val="007C4098"/>
    <w:rsid w:val="007D39CB"/>
    <w:rsid w:val="007D497F"/>
    <w:rsid w:val="007D720E"/>
    <w:rsid w:val="007D7E91"/>
    <w:rsid w:val="007E2893"/>
    <w:rsid w:val="007E3EC8"/>
    <w:rsid w:val="007E768B"/>
    <w:rsid w:val="007F313F"/>
    <w:rsid w:val="007F3606"/>
    <w:rsid w:val="00801F5C"/>
    <w:rsid w:val="00802007"/>
    <w:rsid w:val="00802608"/>
    <w:rsid w:val="00803AE3"/>
    <w:rsid w:val="0081024C"/>
    <w:rsid w:val="008151E1"/>
    <w:rsid w:val="00821290"/>
    <w:rsid w:val="008214EF"/>
    <w:rsid w:val="00826067"/>
    <w:rsid w:val="00826343"/>
    <w:rsid w:val="00830D2A"/>
    <w:rsid w:val="00850867"/>
    <w:rsid w:val="00852A66"/>
    <w:rsid w:val="008623D1"/>
    <w:rsid w:val="008635E3"/>
    <w:rsid w:val="00865506"/>
    <w:rsid w:val="00867D69"/>
    <w:rsid w:val="00870F3A"/>
    <w:rsid w:val="00877DE3"/>
    <w:rsid w:val="0088391B"/>
    <w:rsid w:val="0088455A"/>
    <w:rsid w:val="00887534"/>
    <w:rsid w:val="00890284"/>
    <w:rsid w:val="008A7F90"/>
    <w:rsid w:val="008B1DE1"/>
    <w:rsid w:val="008B6A71"/>
    <w:rsid w:val="008B7DB0"/>
    <w:rsid w:val="008C0D51"/>
    <w:rsid w:val="008C3364"/>
    <w:rsid w:val="008D22EF"/>
    <w:rsid w:val="008D32A9"/>
    <w:rsid w:val="008D6858"/>
    <w:rsid w:val="008E1F40"/>
    <w:rsid w:val="008E22C2"/>
    <w:rsid w:val="008F2450"/>
    <w:rsid w:val="008F458C"/>
    <w:rsid w:val="008F53EE"/>
    <w:rsid w:val="008F5552"/>
    <w:rsid w:val="008F5959"/>
    <w:rsid w:val="00903EDD"/>
    <w:rsid w:val="00910924"/>
    <w:rsid w:val="009119D9"/>
    <w:rsid w:val="00912305"/>
    <w:rsid w:val="009252B9"/>
    <w:rsid w:val="00930CB3"/>
    <w:rsid w:val="00932EF0"/>
    <w:rsid w:val="009333CA"/>
    <w:rsid w:val="00937B8F"/>
    <w:rsid w:val="009638AE"/>
    <w:rsid w:val="00965699"/>
    <w:rsid w:val="009676B7"/>
    <w:rsid w:val="00973A94"/>
    <w:rsid w:val="009746DD"/>
    <w:rsid w:val="00977B96"/>
    <w:rsid w:val="00981464"/>
    <w:rsid w:val="00985E8D"/>
    <w:rsid w:val="00990760"/>
    <w:rsid w:val="00993F0C"/>
    <w:rsid w:val="009954FE"/>
    <w:rsid w:val="00997C77"/>
    <w:rsid w:val="009A1493"/>
    <w:rsid w:val="009B0799"/>
    <w:rsid w:val="009B0A31"/>
    <w:rsid w:val="009B2280"/>
    <w:rsid w:val="009C4482"/>
    <w:rsid w:val="009C687A"/>
    <w:rsid w:val="009D13A8"/>
    <w:rsid w:val="009D17D0"/>
    <w:rsid w:val="009F57A9"/>
    <w:rsid w:val="009F6937"/>
    <w:rsid w:val="00A068DB"/>
    <w:rsid w:val="00A21A11"/>
    <w:rsid w:val="00A23087"/>
    <w:rsid w:val="00A31C0F"/>
    <w:rsid w:val="00A33439"/>
    <w:rsid w:val="00A3734E"/>
    <w:rsid w:val="00A41572"/>
    <w:rsid w:val="00A41D80"/>
    <w:rsid w:val="00A53F6A"/>
    <w:rsid w:val="00A56C9E"/>
    <w:rsid w:val="00A6614B"/>
    <w:rsid w:val="00A669CA"/>
    <w:rsid w:val="00A6724A"/>
    <w:rsid w:val="00A808FE"/>
    <w:rsid w:val="00A811AC"/>
    <w:rsid w:val="00A82290"/>
    <w:rsid w:val="00A83604"/>
    <w:rsid w:val="00A931CE"/>
    <w:rsid w:val="00A938AA"/>
    <w:rsid w:val="00A94365"/>
    <w:rsid w:val="00A96967"/>
    <w:rsid w:val="00AA6F7F"/>
    <w:rsid w:val="00AB03C7"/>
    <w:rsid w:val="00AB2596"/>
    <w:rsid w:val="00AB79E8"/>
    <w:rsid w:val="00AD1B54"/>
    <w:rsid w:val="00AD4556"/>
    <w:rsid w:val="00AD78ED"/>
    <w:rsid w:val="00AE7085"/>
    <w:rsid w:val="00AF1B04"/>
    <w:rsid w:val="00AF5870"/>
    <w:rsid w:val="00AF67F7"/>
    <w:rsid w:val="00AF6E67"/>
    <w:rsid w:val="00B00F7E"/>
    <w:rsid w:val="00B06FAB"/>
    <w:rsid w:val="00B0730A"/>
    <w:rsid w:val="00B1167C"/>
    <w:rsid w:val="00B14562"/>
    <w:rsid w:val="00B17BA6"/>
    <w:rsid w:val="00B22760"/>
    <w:rsid w:val="00B243A4"/>
    <w:rsid w:val="00B25313"/>
    <w:rsid w:val="00B26FCF"/>
    <w:rsid w:val="00B4346E"/>
    <w:rsid w:val="00B524B4"/>
    <w:rsid w:val="00B54547"/>
    <w:rsid w:val="00B54E2E"/>
    <w:rsid w:val="00B57EBD"/>
    <w:rsid w:val="00B83A99"/>
    <w:rsid w:val="00B85E37"/>
    <w:rsid w:val="00B869FF"/>
    <w:rsid w:val="00B8776B"/>
    <w:rsid w:val="00B94E40"/>
    <w:rsid w:val="00B9626F"/>
    <w:rsid w:val="00B96677"/>
    <w:rsid w:val="00BA7505"/>
    <w:rsid w:val="00BB6B50"/>
    <w:rsid w:val="00BC1A68"/>
    <w:rsid w:val="00BC1BF9"/>
    <w:rsid w:val="00BC4287"/>
    <w:rsid w:val="00BC4359"/>
    <w:rsid w:val="00BC50BD"/>
    <w:rsid w:val="00BC5C38"/>
    <w:rsid w:val="00BD0E6D"/>
    <w:rsid w:val="00BD5089"/>
    <w:rsid w:val="00BD5A33"/>
    <w:rsid w:val="00BD6495"/>
    <w:rsid w:val="00BF0803"/>
    <w:rsid w:val="00BF23C0"/>
    <w:rsid w:val="00BF54B4"/>
    <w:rsid w:val="00C05551"/>
    <w:rsid w:val="00C22E2D"/>
    <w:rsid w:val="00C249C7"/>
    <w:rsid w:val="00C30A1F"/>
    <w:rsid w:val="00C42C2E"/>
    <w:rsid w:val="00C440AC"/>
    <w:rsid w:val="00C44E73"/>
    <w:rsid w:val="00C50CF8"/>
    <w:rsid w:val="00C65CF5"/>
    <w:rsid w:val="00C72193"/>
    <w:rsid w:val="00C73A7D"/>
    <w:rsid w:val="00C77FC9"/>
    <w:rsid w:val="00C8111B"/>
    <w:rsid w:val="00C8336C"/>
    <w:rsid w:val="00C84E1C"/>
    <w:rsid w:val="00C85F1E"/>
    <w:rsid w:val="00C911BA"/>
    <w:rsid w:val="00C926F1"/>
    <w:rsid w:val="00CA0AF6"/>
    <w:rsid w:val="00CB092C"/>
    <w:rsid w:val="00CB58C3"/>
    <w:rsid w:val="00CC2E76"/>
    <w:rsid w:val="00CC6284"/>
    <w:rsid w:val="00CC7C43"/>
    <w:rsid w:val="00CD16D7"/>
    <w:rsid w:val="00CD507E"/>
    <w:rsid w:val="00CD5C82"/>
    <w:rsid w:val="00CD7643"/>
    <w:rsid w:val="00CE1171"/>
    <w:rsid w:val="00CE194A"/>
    <w:rsid w:val="00CE6237"/>
    <w:rsid w:val="00D0024E"/>
    <w:rsid w:val="00D11B24"/>
    <w:rsid w:val="00D13D62"/>
    <w:rsid w:val="00D14EBB"/>
    <w:rsid w:val="00D15333"/>
    <w:rsid w:val="00D25813"/>
    <w:rsid w:val="00D25A7D"/>
    <w:rsid w:val="00D339FB"/>
    <w:rsid w:val="00D346C5"/>
    <w:rsid w:val="00D37FF2"/>
    <w:rsid w:val="00D410D5"/>
    <w:rsid w:val="00D56EE3"/>
    <w:rsid w:val="00D61A81"/>
    <w:rsid w:val="00D64119"/>
    <w:rsid w:val="00D65EBC"/>
    <w:rsid w:val="00D81013"/>
    <w:rsid w:val="00D84421"/>
    <w:rsid w:val="00D8724E"/>
    <w:rsid w:val="00D958E0"/>
    <w:rsid w:val="00DA1C24"/>
    <w:rsid w:val="00DA2E86"/>
    <w:rsid w:val="00DA4D6A"/>
    <w:rsid w:val="00DA6843"/>
    <w:rsid w:val="00DB43E0"/>
    <w:rsid w:val="00DB44BD"/>
    <w:rsid w:val="00DC1610"/>
    <w:rsid w:val="00DC3EE8"/>
    <w:rsid w:val="00DC6B4E"/>
    <w:rsid w:val="00DC705A"/>
    <w:rsid w:val="00DC7D99"/>
    <w:rsid w:val="00DD4E45"/>
    <w:rsid w:val="00DD65D7"/>
    <w:rsid w:val="00DE0E42"/>
    <w:rsid w:val="00DE5425"/>
    <w:rsid w:val="00DF127D"/>
    <w:rsid w:val="00DF3168"/>
    <w:rsid w:val="00DF59C9"/>
    <w:rsid w:val="00E12303"/>
    <w:rsid w:val="00E12885"/>
    <w:rsid w:val="00E12F49"/>
    <w:rsid w:val="00E1433B"/>
    <w:rsid w:val="00E271FF"/>
    <w:rsid w:val="00E33528"/>
    <w:rsid w:val="00E3671F"/>
    <w:rsid w:val="00E4294B"/>
    <w:rsid w:val="00E42DBF"/>
    <w:rsid w:val="00E528EF"/>
    <w:rsid w:val="00E570F2"/>
    <w:rsid w:val="00E57920"/>
    <w:rsid w:val="00E63E36"/>
    <w:rsid w:val="00E67275"/>
    <w:rsid w:val="00E67BF6"/>
    <w:rsid w:val="00E75CC9"/>
    <w:rsid w:val="00E830BD"/>
    <w:rsid w:val="00E96CFB"/>
    <w:rsid w:val="00E97B33"/>
    <w:rsid w:val="00EB5312"/>
    <w:rsid w:val="00EB62C9"/>
    <w:rsid w:val="00EC67CC"/>
    <w:rsid w:val="00ED5A68"/>
    <w:rsid w:val="00EE3AF2"/>
    <w:rsid w:val="00EE5E36"/>
    <w:rsid w:val="00F11288"/>
    <w:rsid w:val="00F11F3C"/>
    <w:rsid w:val="00F13F1A"/>
    <w:rsid w:val="00F2348E"/>
    <w:rsid w:val="00F25529"/>
    <w:rsid w:val="00F31D16"/>
    <w:rsid w:val="00F3491E"/>
    <w:rsid w:val="00F461C3"/>
    <w:rsid w:val="00F47A87"/>
    <w:rsid w:val="00F5238B"/>
    <w:rsid w:val="00F615FA"/>
    <w:rsid w:val="00F64DD1"/>
    <w:rsid w:val="00F65D42"/>
    <w:rsid w:val="00F67814"/>
    <w:rsid w:val="00F74557"/>
    <w:rsid w:val="00F81589"/>
    <w:rsid w:val="00F95EA1"/>
    <w:rsid w:val="00F97C4E"/>
    <w:rsid w:val="00FA2BC1"/>
    <w:rsid w:val="00FA7B7F"/>
    <w:rsid w:val="00FB194C"/>
    <w:rsid w:val="00FB4203"/>
    <w:rsid w:val="00FD1074"/>
    <w:rsid w:val="00FD30AB"/>
    <w:rsid w:val="00FE2D0E"/>
    <w:rsid w:val="00FE7DEF"/>
    <w:rsid w:val="00FF289A"/>
    <w:rsid w:val="00FF41DF"/>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7E88"/>
    <w:pPr>
      <w:jc w:val="center"/>
    </w:pPr>
    <w:rPr>
      <w:b/>
      <w:caps/>
      <w:sz w:val="24"/>
    </w:rPr>
  </w:style>
  <w:style w:type="character" w:customStyle="1" w:styleId="TitleChar">
    <w:name w:val="Title Char"/>
    <w:basedOn w:val="DefaultParagraphFont"/>
    <w:link w:val="Title"/>
    <w:rsid w:val="002F7E88"/>
    <w:rPr>
      <w:rFonts w:eastAsia="Times New Roman"/>
      <w:b/>
      <w:caps/>
      <w:szCs w:val="20"/>
    </w:rPr>
  </w:style>
  <w:style w:type="paragraph" w:styleId="Subtitle">
    <w:name w:val="Subtitle"/>
    <w:basedOn w:val="Normal"/>
    <w:link w:val="SubtitleChar"/>
    <w:qFormat/>
    <w:rsid w:val="002F7E88"/>
    <w:pPr>
      <w:jc w:val="center"/>
    </w:pPr>
    <w:rPr>
      <w:b/>
      <w:caps/>
      <w:sz w:val="24"/>
    </w:rPr>
  </w:style>
  <w:style w:type="character" w:customStyle="1" w:styleId="SubtitleChar">
    <w:name w:val="Subtitle Char"/>
    <w:basedOn w:val="DefaultParagraphFont"/>
    <w:link w:val="Subtitle"/>
    <w:rsid w:val="002F7E88"/>
    <w:rPr>
      <w:rFonts w:eastAsia="Times New Roman"/>
      <w:b/>
      <w:caps/>
      <w:szCs w:val="20"/>
    </w:rPr>
  </w:style>
  <w:style w:type="character" w:styleId="Hyperlink">
    <w:name w:val="Hyperlink"/>
    <w:basedOn w:val="DefaultParagraphFont"/>
    <w:rsid w:val="002F7E88"/>
    <w:rPr>
      <w:color w:val="0000FF"/>
      <w:u w:val="single"/>
    </w:rPr>
  </w:style>
  <w:style w:type="paragraph" w:styleId="Header">
    <w:name w:val="header"/>
    <w:basedOn w:val="Normal"/>
    <w:link w:val="HeaderChar"/>
    <w:rsid w:val="002F7E88"/>
    <w:pPr>
      <w:tabs>
        <w:tab w:val="center" w:pos="4320"/>
        <w:tab w:val="right" w:pos="8640"/>
      </w:tabs>
    </w:pPr>
    <w:rPr>
      <w:sz w:val="24"/>
    </w:rPr>
  </w:style>
  <w:style w:type="character" w:customStyle="1" w:styleId="HeaderChar">
    <w:name w:val="Header Char"/>
    <w:basedOn w:val="DefaultParagraphFont"/>
    <w:link w:val="Header"/>
    <w:rsid w:val="002F7E88"/>
    <w:rPr>
      <w:rFonts w:eastAsia="Times New Roman"/>
      <w:szCs w:val="20"/>
    </w:rPr>
  </w:style>
  <w:style w:type="character" w:styleId="PageNumber">
    <w:name w:val="page number"/>
    <w:basedOn w:val="DefaultParagraphFont"/>
    <w:rsid w:val="002F7E88"/>
  </w:style>
  <w:style w:type="paragraph" w:styleId="BodyText">
    <w:name w:val="Body Text"/>
    <w:basedOn w:val="Normal"/>
    <w:link w:val="BodyTextChar"/>
    <w:rsid w:val="002F7E88"/>
    <w:pPr>
      <w:jc w:val="both"/>
    </w:pPr>
    <w:rPr>
      <w:sz w:val="24"/>
    </w:rPr>
  </w:style>
  <w:style w:type="character" w:customStyle="1" w:styleId="BodyTextChar">
    <w:name w:val="Body Text Char"/>
    <w:basedOn w:val="DefaultParagraphFont"/>
    <w:link w:val="BodyText"/>
    <w:rsid w:val="002F7E88"/>
    <w:rPr>
      <w:rFonts w:eastAsia="Times New Roman"/>
      <w:szCs w:val="20"/>
    </w:rPr>
  </w:style>
  <w:style w:type="paragraph" w:styleId="Footer">
    <w:name w:val="footer"/>
    <w:basedOn w:val="Normal"/>
    <w:link w:val="FooterChar"/>
    <w:uiPriority w:val="99"/>
    <w:unhideWhenUsed/>
    <w:rsid w:val="002F7E88"/>
    <w:pPr>
      <w:tabs>
        <w:tab w:val="center" w:pos="4680"/>
        <w:tab w:val="right" w:pos="9360"/>
      </w:tabs>
    </w:pPr>
  </w:style>
  <w:style w:type="character" w:customStyle="1" w:styleId="FooterChar">
    <w:name w:val="Footer Char"/>
    <w:basedOn w:val="DefaultParagraphFont"/>
    <w:link w:val="Footer"/>
    <w:uiPriority w:val="99"/>
    <w:rsid w:val="002F7E88"/>
    <w:rPr>
      <w:rFonts w:eastAsia="Times New Roman"/>
      <w:sz w:val="20"/>
      <w:szCs w:val="20"/>
    </w:rPr>
  </w:style>
  <w:style w:type="paragraph" w:styleId="BalloonText">
    <w:name w:val="Balloon Text"/>
    <w:basedOn w:val="Normal"/>
    <w:link w:val="BalloonTextChar"/>
    <w:uiPriority w:val="99"/>
    <w:semiHidden/>
    <w:unhideWhenUsed/>
    <w:rsid w:val="00E570F2"/>
    <w:rPr>
      <w:rFonts w:ascii="Tahoma" w:hAnsi="Tahoma" w:cs="Tahoma"/>
      <w:sz w:val="16"/>
      <w:szCs w:val="16"/>
    </w:rPr>
  </w:style>
  <w:style w:type="character" w:customStyle="1" w:styleId="BalloonTextChar">
    <w:name w:val="Balloon Text Char"/>
    <w:basedOn w:val="DefaultParagraphFont"/>
    <w:link w:val="BalloonText"/>
    <w:uiPriority w:val="99"/>
    <w:semiHidden/>
    <w:rsid w:val="00E570F2"/>
    <w:rPr>
      <w:rFonts w:ascii="Tahoma" w:eastAsia="Times New Roman" w:hAnsi="Tahoma" w:cs="Tahoma"/>
      <w:sz w:val="16"/>
      <w:szCs w:val="16"/>
    </w:rPr>
  </w:style>
  <w:style w:type="paragraph" w:styleId="ListParagraph">
    <w:name w:val="List Paragraph"/>
    <w:basedOn w:val="Normal"/>
    <w:uiPriority w:val="34"/>
    <w:qFormat/>
    <w:rsid w:val="00734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7E88"/>
    <w:pPr>
      <w:jc w:val="center"/>
    </w:pPr>
    <w:rPr>
      <w:b/>
      <w:caps/>
      <w:sz w:val="24"/>
    </w:rPr>
  </w:style>
  <w:style w:type="character" w:customStyle="1" w:styleId="TitleChar">
    <w:name w:val="Title Char"/>
    <w:basedOn w:val="DefaultParagraphFont"/>
    <w:link w:val="Title"/>
    <w:rsid w:val="002F7E88"/>
    <w:rPr>
      <w:rFonts w:eastAsia="Times New Roman"/>
      <w:b/>
      <w:caps/>
      <w:szCs w:val="20"/>
    </w:rPr>
  </w:style>
  <w:style w:type="paragraph" w:styleId="Subtitle">
    <w:name w:val="Subtitle"/>
    <w:basedOn w:val="Normal"/>
    <w:link w:val="SubtitleChar"/>
    <w:qFormat/>
    <w:rsid w:val="002F7E88"/>
    <w:pPr>
      <w:jc w:val="center"/>
    </w:pPr>
    <w:rPr>
      <w:b/>
      <w:caps/>
      <w:sz w:val="24"/>
    </w:rPr>
  </w:style>
  <w:style w:type="character" w:customStyle="1" w:styleId="SubtitleChar">
    <w:name w:val="Subtitle Char"/>
    <w:basedOn w:val="DefaultParagraphFont"/>
    <w:link w:val="Subtitle"/>
    <w:rsid w:val="002F7E88"/>
    <w:rPr>
      <w:rFonts w:eastAsia="Times New Roman"/>
      <w:b/>
      <w:caps/>
      <w:szCs w:val="20"/>
    </w:rPr>
  </w:style>
  <w:style w:type="character" w:styleId="Hyperlink">
    <w:name w:val="Hyperlink"/>
    <w:basedOn w:val="DefaultParagraphFont"/>
    <w:rsid w:val="002F7E88"/>
    <w:rPr>
      <w:color w:val="0000FF"/>
      <w:u w:val="single"/>
    </w:rPr>
  </w:style>
  <w:style w:type="paragraph" w:styleId="Header">
    <w:name w:val="header"/>
    <w:basedOn w:val="Normal"/>
    <w:link w:val="HeaderChar"/>
    <w:rsid w:val="002F7E88"/>
    <w:pPr>
      <w:tabs>
        <w:tab w:val="center" w:pos="4320"/>
        <w:tab w:val="right" w:pos="8640"/>
      </w:tabs>
    </w:pPr>
    <w:rPr>
      <w:sz w:val="24"/>
    </w:rPr>
  </w:style>
  <w:style w:type="character" w:customStyle="1" w:styleId="HeaderChar">
    <w:name w:val="Header Char"/>
    <w:basedOn w:val="DefaultParagraphFont"/>
    <w:link w:val="Header"/>
    <w:rsid w:val="002F7E88"/>
    <w:rPr>
      <w:rFonts w:eastAsia="Times New Roman"/>
      <w:szCs w:val="20"/>
    </w:rPr>
  </w:style>
  <w:style w:type="character" w:styleId="PageNumber">
    <w:name w:val="page number"/>
    <w:basedOn w:val="DefaultParagraphFont"/>
    <w:rsid w:val="002F7E88"/>
  </w:style>
  <w:style w:type="paragraph" w:styleId="BodyText">
    <w:name w:val="Body Text"/>
    <w:basedOn w:val="Normal"/>
    <w:link w:val="BodyTextChar"/>
    <w:rsid w:val="002F7E88"/>
    <w:pPr>
      <w:jc w:val="both"/>
    </w:pPr>
    <w:rPr>
      <w:sz w:val="24"/>
    </w:rPr>
  </w:style>
  <w:style w:type="character" w:customStyle="1" w:styleId="BodyTextChar">
    <w:name w:val="Body Text Char"/>
    <w:basedOn w:val="DefaultParagraphFont"/>
    <w:link w:val="BodyText"/>
    <w:rsid w:val="002F7E88"/>
    <w:rPr>
      <w:rFonts w:eastAsia="Times New Roman"/>
      <w:szCs w:val="20"/>
    </w:rPr>
  </w:style>
  <w:style w:type="paragraph" w:styleId="Footer">
    <w:name w:val="footer"/>
    <w:basedOn w:val="Normal"/>
    <w:link w:val="FooterChar"/>
    <w:uiPriority w:val="99"/>
    <w:unhideWhenUsed/>
    <w:rsid w:val="002F7E88"/>
    <w:pPr>
      <w:tabs>
        <w:tab w:val="center" w:pos="4680"/>
        <w:tab w:val="right" w:pos="9360"/>
      </w:tabs>
    </w:pPr>
  </w:style>
  <w:style w:type="character" w:customStyle="1" w:styleId="FooterChar">
    <w:name w:val="Footer Char"/>
    <w:basedOn w:val="DefaultParagraphFont"/>
    <w:link w:val="Footer"/>
    <w:uiPriority w:val="99"/>
    <w:rsid w:val="002F7E88"/>
    <w:rPr>
      <w:rFonts w:eastAsia="Times New Roman"/>
      <w:sz w:val="20"/>
      <w:szCs w:val="20"/>
    </w:rPr>
  </w:style>
  <w:style w:type="paragraph" w:styleId="BalloonText">
    <w:name w:val="Balloon Text"/>
    <w:basedOn w:val="Normal"/>
    <w:link w:val="BalloonTextChar"/>
    <w:uiPriority w:val="99"/>
    <w:semiHidden/>
    <w:unhideWhenUsed/>
    <w:rsid w:val="00E570F2"/>
    <w:rPr>
      <w:rFonts w:ascii="Tahoma" w:hAnsi="Tahoma" w:cs="Tahoma"/>
      <w:sz w:val="16"/>
      <w:szCs w:val="16"/>
    </w:rPr>
  </w:style>
  <w:style w:type="character" w:customStyle="1" w:styleId="BalloonTextChar">
    <w:name w:val="Balloon Text Char"/>
    <w:basedOn w:val="DefaultParagraphFont"/>
    <w:link w:val="BalloonText"/>
    <w:uiPriority w:val="99"/>
    <w:semiHidden/>
    <w:rsid w:val="00E570F2"/>
    <w:rPr>
      <w:rFonts w:ascii="Tahoma" w:eastAsia="Times New Roman" w:hAnsi="Tahoma" w:cs="Tahoma"/>
      <w:sz w:val="16"/>
      <w:szCs w:val="16"/>
    </w:rPr>
  </w:style>
  <w:style w:type="paragraph" w:styleId="ListParagraph">
    <w:name w:val="List Paragraph"/>
    <w:basedOn w:val="Normal"/>
    <w:uiPriority w:val="34"/>
    <w:qFormat/>
    <w:rsid w:val="0073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m.harriso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2075-603D-4416-8AA9-AEA30E7E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Links>
    <vt:vector size="6" baseType="variant">
      <vt:variant>
        <vt:i4>4390956</vt:i4>
      </vt:variant>
      <vt:variant>
        <vt:i4>0</vt:i4>
      </vt:variant>
      <vt:variant>
        <vt:i4>0</vt:i4>
      </vt:variant>
      <vt:variant>
        <vt:i4>5</vt:i4>
      </vt:variant>
      <vt:variant>
        <vt:lpwstr>mailto:tim.harrison@utoronto.ca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dc:creator>
  <cp:lastModifiedBy>Tim</cp:lastModifiedBy>
  <cp:revision>30</cp:revision>
  <cp:lastPrinted>2015-02-07T21:50:00Z</cp:lastPrinted>
  <dcterms:created xsi:type="dcterms:W3CDTF">2016-01-14T23:30:00Z</dcterms:created>
  <dcterms:modified xsi:type="dcterms:W3CDTF">2016-02-18T19:02:00Z</dcterms:modified>
</cp:coreProperties>
</file>